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16DCB" w14:textId="51B38455" w:rsidR="0063609D" w:rsidRPr="00F80C01" w:rsidRDefault="00BF44E0" w:rsidP="00BF44E0">
      <w:pPr>
        <w:jc w:val="center"/>
        <w:rPr>
          <w:rFonts w:ascii="Garamond" w:hAnsi="Garamond" w:cs="Times New Roman"/>
          <w:b/>
          <w:bCs/>
          <w:sz w:val="22"/>
          <w:szCs w:val="22"/>
        </w:rPr>
      </w:pPr>
      <w:r w:rsidRPr="00BF44E0">
        <w:rPr>
          <w:rFonts w:ascii="Garamond" w:hAnsi="Garamond" w:cs="Times New Roman"/>
          <w:b/>
          <w:bCs/>
          <w:sz w:val="22"/>
          <w:szCs w:val="22"/>
        </w:rPr>
        <w:t>SMU</w:t>
      </w:r>
      <w:r>
        <w:rPr>
          <w:rFonts w:ascii="Garamond" w:hAnsi="Garamond" w:cs="Times New Roman"/>
          <w:sz w:val="22"/>
          <w:szCs w:val="22"/>
        </w:rPr>
        <w:t xml:space="preserve"> </w:t>
      </w:r>
      <w:r w:rsidR="0063609D" w:rsidRPr="00F80C01">
        <w:rPr>
          <w:rFonts w:ascii="Garamond" w:hAnsi="Garamond" w:cs="Times New Roman"/>
          <w:b/>
          <w:bCs/>
          <w:sz w:val="22"/>
          <w:szCs w:val="22"/>
        </w:rPr>
        <w:t>Required Syllabus Statements</w:t>
      </w:r>
    </w:p>
    <w:p w14:paraId="36D2A984" w14:textId="7DEE84F3" w:rsidR="0063609D" w:rsidRDefault="0063609D">
      <w:pPr>
        <w:rPr>
          <w:rFonts w:ascii="Garamond" w:hAnsi="Garamond" w:cs="Times New Roman"/>
          <w:sz w:val="22"/>
          <w:szCs w:val="22"/>
        </w:rPr>
      </w:pPr>
    </w:p>
    <w:p w14:paraId="426F5E41" w14:textId="05DB21A7" w:rsidR="0063609D" w:rsidRPr="00F80C01" w:rsidRDefault="00F80C01">
      <w:pPr>
        <w:rPr>
          <w:rFonts w:ascii="Garamond" w:hAnsi="Garamond" w:cs="Times New Roman"/>
          <w:b/>
          <w:bCs/>
          <w:sz w:val="22"/>
          <w:szCs w:val="22"/>
        </w:rPr>
      </w:pPr>
      <w:r w:rsidRPr="00F80C01">
        <w:rPr>
          <w:rFonts w:ascii="Garamond" w:hAnsi="Garamond" w:cs="Times New Roman"/>
          <w:b/>
          <w:bCs/>
          <w:sz w:val="22"/>
          <w:szCs w:val="22"/>
        </w:rPr>
        <w:t>Title IX and D</w:t>
      </w:r>
      <w:r w:rsidR="0063609D" w:rsidRPr="00F80C01">
        <w:rPr>
          <w:rFonts w:ascii="Garamond" w:hAnsi="Garamond" w:cs="Times New Roman"/>
          <w:b/>
          <w:bCs/>
          <w:sz w:val="22"/>
          <w:szCs w:val="22"/>
        </w:rPr>
        <w:t xml:space="preserve">isability </w:t>
      </w:r>
      <w:r w:rsidRPr="00F80C01">
        <w:rPr>
          <w:rFonts w:ascii="Garamond" w:hAnsi="Garamond" w:cs="Times New Roman"/>
          <w:b/>
          <w:bCs/>
          <w:sz w:val="22"/>
          <w:szCs w:val="22"/>
        </w:rPr>
        <w:t>A</w:t>
      </w:r>
      <w:r w:rsidR="0063609D" w:rsidRPr="00F80C01">
        <w:rPr>
          <w:rFonts w:ascii="Garamond" w:hAnsi="Garamond" w:cs="Times New Roman"/>
          <w:b/>
          <w:bCs/>
          <w:sz w:val="22"/>
          <w:szCs w:val="22"/>
        </w:rPr>
        <w:t>ccommodations</w:t>
      </w:r>
    </w:p>
    <w:p w14:paraId="51F84CC6" w14:textId="77777777" w:rsidR="0063609D" w:rsidRPr="00FC2F94" w:rsidRDefault="0063609D">
      <w:pPr>
        <w:rPr>
          <w:rFonts w:ascii="Garamond" w:hAnsi="Garamond" w:cs="Times New Roman"/>
          <w:sz w:val="22"/>
          <w:szCs w:val="22"/>
        </w:rPr>
      </w:pPr>
    </w:p>
    <w:tbl>
      <w:tblPr>
        <w:tblStyle w:val="TableGrid"/>
        <w:tblW w:w="9535" w:type="dxa"/>
        <w:tblLayout w:type="fixed"/>
        <w:tblLook w:val="04A0" w:firstRow="1" w:lastRow="0" w:firstColumn="1" w:lastColumn="0" w:noHBand="0" w:noVBand="1"/>
      </w:tblPr>
      <w:tblGrid>
        <w:gridCol w:w="1885"/>
        <w:gridCol w:w="7650"/>
      </w:tblGrid>
      <w:tr w:rsidR="00E466FD" w:rsidRPr="00FC2F94" w14:paraId="5AAB415E" w14:textId="77777777" w:rsidTr="00E466FD">
        <w:tc>
          <w:tcPr>
            <w:tcW w:w="1885" w:type="dxa"/>
          </w:tcPr>
          <w:p w14:paraId="651EED44" w14:textId="1281200F" w:rsidR="00E466FD" w:rsidRPr="00FC2F94" w:rsidRDefault="00E466FD">
            <w:pPr>
              <w:rPr>
                <w:rFonts w:ascii="Garamond" w:hAnsi="Garamond" w:cs="Times New Roman"/>
                <w:sz w:val="22"/>
                <w:szCs w:val="22"/>
              </w:rPr>
            </w:pPr>
            <w:r w:rsidRPr="00FC2F94">
              <w:rPr>
                <w:rFonts w:ascii="Garamond" w:hAnsi="Garamond" w:cs="Times New Roman"/>
                <w:sz w:val="22"/>
                <w:szCs w:val="22"/>
              </w:rPr>
              <w:t>Disability Accommodations</w:t>
            </w:r>
          </w:p>
        </w:tc>
        <w:tc>
          <w:tcPr>
            <w:tcW w:w="7650" w:type="dxa"/>
          </w:tcPr>
          <w:p w14:paraId="6E81422F" w14:textId="6A7B06E5" w:rsidR="00E466FD" w:rsidRPr="00FC2F94" w:rsidRDefault="00E466FD">
            <w:pPr>
              <w:rPr>
                <w:rFonts w:ascii="Garamond" w:hAnsi="Garamond"/>
                <w:sz w:val="22"/>
                <w:szCs w:val="22"/>
              </w:rPr>
            </w:pPr>
            <w:r w:rsidRPr="00FC2F94">
              <w:rPr>
                <w:rFonts w:ascii="Garamond" w:hAnsi="Garamond"/>
                <w:sz w:val="22"/>
                <w:szCs w:val="22"/>
              </w:rPr>
              <w:t xml:space="preserve">Students </w:t>
            </w:r>
            <w:r w:rsidR="007E6030">
              <w:rPr>
                <w:rFonts w:ascii="Garamond" w:hAnsi="Garamond"/>
                <w:sz w:val="22"/>
                <w:szCs w:val="22"/>
              </w:rPr>
              <w:t>who need</w:t>
            </w:r>
            <w:r w:rsidR="007E6030" w:rsidRPr="00FC2F94">
              <w:rPr>
                <w:rFonts w:ascii="Garamond" w:hAnsi="Garamond"/>
                <w:sz w:val="22"/>
                <w:szCs w:val="22"/>
              </w:rPr>
              <w:t xml:space="preserve"> </w:t>
            </w:r>
            <w:r w:rsidRPr="00FC2F94">
              <w:rPr>
                <w:rFonts w:ascii="Garamond" w:hAnsi="Garamond"/>
                <w:sz w:val="22"/>
                <w:szCs w:val="22"/>
              </w:rPr>
              <w:t xml:space="preserve">academic accommodations for a disability must first register with Disability Accommodations &amp; Success Strategies (DASS). Students can call 214-768-1470 or visit </w:t>
            </w:r>
            <w:hyperlink r:id="rId7" w:history="1">
              <w:r w:rsidRPr="00FC2F94">
                <w:rPr>
                  <w:rFonts w:ascii="Garamond" w:hAnsi="Garamond"/>
                  <w:color w:val="0000FF"/>
                  <w:sz w:val="22"/>
                  <w:szCs w:val="22"/>
                  <w:u w:val="single"/>
                </w:rPr>
                <w:t>http://www.smu.edu/Provost/SASP/DASS</w:t>
              </w:r>
            </w:hyperlink>
            <w:r w:rsidRPr="00FC2F94">
              <w:rPr>
                <w:rFonts w:ascii="Garamond" w:hAnsi="Garamond"/>
                <w:sz w:val="22"/>
                <w:szCs w:val="22"/>
              </w:rPr>
              <w:t> to begin the process. Once</w:t>
            </w:r>
            <w:r w:rsidR="007E6030">
              <w:rPr>
                <w:rFonts w:ascii="Garamond" w:hAnsi="Garamond"/>
                <w:sz w:val="22"/>
                <w:szCs w:val="22"/>
              </w:rPr>
              <w:t xml:space="preserve"> they are</w:t>
            </w:r>
            <w:r w:rsidRPr="00FC2F94">
              <w:rPr>
                <w:rFonts w:ascii="Garamond" w:hAnsi="Garamond"/>
                <w:sz w:val="22"/>
                <w:szCs w:val="22"/>
              </w:rPr>
              <w:t xml:space="preserve"> </w:t>
            </w:r>
            <w:r w:rsidR="007E17DE" w:rsidRPr="00FC2F94">
              <w:rPr>
                <w:rFonts w:ascii="Garamond" w:hAnsi="Garamond"/>
                <w:sz w:val="22"/>
                <w:szCs w:val="22"/>
              </w:rPr>
              <w:t>registered and </w:t>
            </w:r>
            <w:r w:rsidRPr="00FC2F94">
              <w:rPr>
                <w:rFonts w:ascii="Garamond" w:hAnsi="Garamond"/>
                <w:sz w:val="22"/>
                <w:szCs w:val="22"/>
              </w:rPr>
              <w:t xml:space="preserve">approved, students </w:t>
            </w:r>
            <w:r w:rsidR="007E6030">
              <w:rPr>
                <w:rFonts w:ascii="Garamond" w:hAnsi="Garamond"/>
                <w:sz w:val="22"/>
                <w:szCs w:val="22"/>
              </w:rPr>
              <w:t>then</w:t>
            </w:r>
            <w:r w:rsidR="007E6030" w:rsidRPr="00FC2F94">
              <w:rPr>
                <w:rFonts w:ascii="Garamond" w:hAnsi="Garamond"/>
                <w:sz w:val="22"/>
                <w:szCs w:val="22"/>
              </w:rPr>
              <w:t xml:space="preserve"> </w:t>
            </w:r>
            <w:r w:rsidRPr="00FC2F94">
              <w:rPr>
                <w:rFonts w:ascii="Garamond" w:hAnsi="Garamond"/>
                <w:sz w:val="22"/>
                <w:szCs w:val="22"/>
              </w:rPr>
              <w:t>submit a DASS Accommodation Letter through the electronic portal</w:t>
            </w:r>
            <w:r w:rsidR="007E6030">
              <w:rPr>
                <w:rFonts w:ascii="Garamond" w:hAnsi="Garamond"/>
                <w:sz w:val="22"/>
                <w:szCs w:val="22"/>
              </w:rPr>
              <w:t>,</w:t>
            </w:r>
            <w:r w:rsidRPr="00FC2F94">
              <w:rPr>
                <w:rFonts w:ascii="Garamond" w:hAnsi="Garamond"/>
                <w:sz w:val="22"/>
                <w:szCs w:val="22"/>
              </w:rPr>
              <w:t> </w:t>
            </w:r>
            <w:r w:rsidRPr="00FC2F94">
              <w:rPr>
                <w:rFonts w:ascii="Garamond" w:hAnsi="Garamond"/>
                <w:i/>
                <w:iCs/>
                <w:sz w:val="22"/>
                <w:szCs w:val="22"/>
              </w:rPr>
              <w:t>DASS Link</w:t>
            </w:r>
            <w:r w:rsidR="007E6030">
              <w:rPr>
                <w:rFonts w:ascii="Garamond" w:hAnsi="Garamond"/>
                <w:i/>
                <w:iCs/>
                <w:sz w:val="22"/>
                <w:szCs w:val="22"/>
              </w:rPr>
              <w:t>,</w:t>
            </w:r>
            <w:r w:rsidRPr="00FC2F94">
              <w:rPr>
                <w:rFonts w:ascii="Garamond" w:hAnsi="Garamond"/>
                <w:sz w:val="22"/>
                <w:szCs w:val="22"/>
              </w:rPr>
              <w:t xml:space="preserve"> and then communicate directly with each </w:t>
            </w:r>
            <w:r w:rsidR="007E6030">
              <w:rPr>
                <w:rFonts w:ascii="Garamond" w:hAnsi="Garamond"/>
                <w:sz w:val="22"/>
                <w:szCs w:val="22"/>
              </w:rPr>
              <w:t xml:space="preserve">of their </w:t>
            </w:r>
            <w:r w:rsidRPr="00FC2F94">
              <w:rPr>
                <w:rFonts w:ascii="Garamond" w:hAnsi="Garamond"/>
                <w:sz w:val="22"/>
                <w:szCs w:val="22"/>
              </w:rPr>
              <w:t>instructor</w:t>
            </w:r>
            <w:r w:rsidR="007E6030">
              <w:rPr>
                <w:rFonts w:ascii="Garamond" w:hAnsi="Garamond"/>
                <w:sz w:val="22"/>
                <w:szCs w:val="22"/>
              </w:rPr>
              <w:t>s</w:t>
            </w:r>
            <w:r w:rsidRPr="00FC2F94">
              <w:rPr>
                <w:rFonts w:ascii="Garamond" w:hAnsi="Garamond"/>
                <w:sz w:val="22"/>
                <w:szCs w:val="22"/>
              </w:rPr>
              <w:t xml:space="preserve"> to make appropriate arrangements. Please note that accommodations are not retroactive</w:t>
            </w:r>
            <w:r w:rsidR="007E6030">
              <w:rPr>
                <w:rFonts w:ascii="Garamond" w:hAnsi="Garamond"/>
                <w:sz w:val="22"/>
                <w:szCs w:val="22"/>
              </w:rPr>
              <w:t xml:space="preserve">, but rather </w:t>
            </w:r>
            <w:r w:rsidRPr="00FC2F94">
              <w:rPr>
                <w:rFonts w:ascii="Garamond" w:hAnsi="Garamond"/>
                <w:sz w:val="22"/>
                <w:szCs w:val="22"/>
              </w:rPr>
              <w:t>require advance notice</w:t>
            </w:r>
            <w:r w:rsidR="007E6030">
              <w:rPr>
                <w:rFonts w:ascii="Garamond" w:hAnsi="Garamond"/>
                <w:sz w:val="22"/>
                <w:szCs w:val="22"/>
              </w:rPr>
              <w:t xml:space="preserve"> in order</w:t>
            </w:r>
            <w:r w:rsidRPr="00FC2F94">
              <w:rPr>
                <w:rFonts w:ascii="Garamond" w:hAnsi="Garamond"/>
                <w:sz w:val="22"/>
                <w:szCs w:val="22"/>
              </w:rPr>
              <w:t xml:space="preserve"> to implement.</w:t>
            </w:r>
          </w:p>
        </w:tc>
      </w:tr>
      <w:tr w:rsidR="00E466FD" w:rsidRPr="00FC2F94" w14:paraId="72804BEE" w14:textId="77777777" w:rsidTr="00E466FD">
        <w:tc>
          <w:tcPr>
            <w:tcW w:w="1885" w:type="dxa"/>
          </w:tcPr>
          <w:p w14:paraId="66F56B87" w14:textId="3BB313BD" w:rsidR="00E466FD" w:rsidRPr="00FC2F94" w:rsidRDefault="00E466FD">
            <w:pPr>
              <w:rPr>
                <w:rFonts w:ascii="Garamond" w:hAnsi="Garamond" w:cs="Times New Roman"/>
                <w:sz w:val="22"/>
                <w:szCs w:val="22"/>
              </w:rPr>
            </w:pPr>
            <w:r w:rsidRPr="00FC2F94">
              <w:rPr>
                <w:rFonts w:ascii="Garamond" w:hAnsi="Garamond" w:cs="Times New Roman"/>
                <w:sz w:val="22"/>
                <w:szCs w:val="22"/>
              </w:rPr>
              <w:t>Sexual Harassment</w:t>
            </w:r>
          </w:p>
        </w:tc>
        <w:tc>
          <w:tcPr>
            <w:tcW w:w="7650" w:type="dxa"/>
          </w:tcPr>
          <w:p w14:paraId="702B1718" w14:textId="5703E3E8" w:rsidR="00E466FD" w:rsidRPr="00FC2F94" w:rsidRDefault="00E466FD" w:rsidP="00EE5EDC">
            <w:pPr>
              <w:rPr>
                <w:rFonts w:ascii="Garamond" w:hAnsi="Garamond"/>
                <w:sz w:val="22"/>
                <w:szCs w:val="22"/>
              </w:rPr>
            </w:pPr>
            <w:r w:rsidRPr="00FC2F94">
              <w:rPr>
                <w:rFonts w:ascii="Garamond" w:hAnsi="Garamond"/>
                <w:color w:val="000000"/>
                <w:sz w:val="22"/>
                <w:szCs w:val="22"/>
              </w:rPr>
              <w:t>All forms of sexual harassment</w:t>
            </w:r>
            <w:r w:rsidR="007E6030">
              <w:rPr>
                <w:rFonts w:ascii="Garamond" w:hAnsi="Garamond"/>
                <w:color w:val="000000"/>
                <w:sz w:val="22"/>
                <w:szCs w:val="22"/>
              </w:rPr>
              <w:t>,</w:t>
            </w:r>
            <w:r w:rsidRPr="00FC2F94">
              <w:rPr>
                <w:rFonts w:ascii="Garamond" w:hAnsi="Garamond"/>
                <w:color w:val="000000"/>
                <w:sz w:val="22"/>
                <w:szCs w:val="22"/>
              </w:rPr>
              <w:t xml:space="preserve"> including sexual assault, dating violence, domestic violence and stalking</w:t>
            </w:r>
            <w:r w:rsidR="007E6030">
              <w:rPr>
                <w:rFonts w:ascii="Garamond" w:hAnsi="Garamond"/>
                <w:color w:val="000000"/>
                <w:sz w:val="22"/>
                <w:szCs w:val="22"/>
              </w:rPr>
              <w:t>,</w:t>
            </w:r>
            <w:r w:rsidRPr="00FC2F94">
              <w:rPr>
                <w:rFonts w:ascii="Garamond" w:hAnsi="Garamond"/>
                <w:color w:val="000000"/>
                <w:sz w:val="22"/>
                <w:szCs w:val="22"/>
              </w:rPr>
              <w:t xml:space="preserve"> are violations of SMU’s Title IX Sexual Harassment Policy and may also violate Texas law</w:t>
            </w:r>
            <w:r w:rsidR="007E17DE" w:rsidRPr="00FC2F94">
              <w:rPr>
                <w:rFonts w:ascii="Garamond" w:hAnsi="Garamond"/>
                <w:color w:val="000000"/>
                <w:sz w:val="22"/>
                <w:szCs w:val="22"/>
              </w:rPr>
              <w:t>.</w:t>
            </w:r>
            <w:r w:rsidR="007E17DE">
              <w:rPr>
                <w:rFonts w:ascii="Garamond" w:hAnsi="Garamond"/>
                <w:color w:val="000000"/>
                <w:sz w:val="22"/>
                <w:szCs w:val="22"/>
              </w:rPr>
              <w:t xml:space="preserve"> </w:t>
            </w:r>
            <w:r w:rsidRPr="00FC2F94">
              <w:rPr>
                <w:rFonts w:ascii="Garamond" w:hAnsi="Garamond"/>
                <w:color w:val="000000"/>
                <w:sz w:val="22"/>
                <w:szCs w:val="22"/>
              </w:rPr>
              <w:t xml:space="preserve">Students who wish to file a complaint or </w:t>
            </w:r>
            <w:r w:rsidR="007E6030">
              <w:rPr>
                <w:rFonts w:ascii="Garamond" w:hAnsi="Garamond"/>
                <w:color w:val="000000"/>
                <w:sz w:val="22"/>
                <w:szCs w:val="22"/>
              </w:rPr>
              <w:t xml:space="preserve">to </w:t>
            </w:r>
            <w:r w:rsidRPr="00FC2F94">
              <w:rPr>
                <w:rFonts w:ascii="Garamond" w:hAnsi="Garamond"/>
                <w:color w:val="000000"/>
                <w:sz w:val="22"/>
                <w:szCs w:val="22"/>
              </w:rPr>
              <w:t>receive more information about the grievance process may contact Samantha Thomas, SMU’s Title IX Coordinator, at</w:t>
            </w:r>
            <w:r w:rsidRPr="00FC2F94">
              <w:rPr>
                <w:rStyle w:val="apple-converted-space"/>
                <w:rFonts w:ascii="Garamond" w:hAnsi="Garamond"/>
                <w:color w:val="000000"/>
                <w:sz w:val="22"/>
                <w:szCs w:val="22"/>
              </w:rPr>
              <w:t> </w:t>
            </w:r>
            <w:hyperlink r:id="rId8" w:history="1">
              <w:r w:rsidRPr="00FC2F94">
                <w:rPr>
                  <w:rStyle w:val="Hyperlink"/>
                  <w:rFonts w:ascii="Garamond" w:hAnsi="Garamond"/>
                  <w:color w:val="0563C1"/>
                  <w:sz w:val="22"/>
                  <w:szCs w:val="22"/>
                </w:rPr>
                <w:t>accessequity@smu.edu</w:t>
              </w:r>
            </w:hyperlink>
            <w:r w:rsidRPr="00FC2F94">
              <w:rPr>
                <w:rStyle w:val="apple-converted-space"/>
                <w:rFonts w:ascii="Garamond" w:hAnsi="Garamond"/>
                <w:color w:val="000000"/>
                <w:sz w:val="22"/>
                <w:szCs w:val="22"/>
              </w:rPr>
              <w:t> </w:t>
            </w:r>
            <w:r w:rsidRPr="00FC2F94">
              <w:rPr>
                <w:rFonts w:ascii="Garamond" w:hAnsi="Garamond"/>
                <w:color w:val="000000"/>
                <w:sz w:val="22"/>
                <w:szCs w:val="22"/>
              </w:rPr>
              <w:t>or 214-768-3601</w:t>
            </w:r>
            <w:r w:rsidR="007E17DE" w:rsidRPr="00FC2F94">
              <w:rPr>
                <w:rFonts w:ascii="Garamond" w:hAnsi="Garamond"/>
                <w:color w:val="000000"/>
                <w:sz w:val="22"/>
                <w:szCs w:val="22"/>
              </w:rPr>
              <w:t>.</w:t>
            </w:r>
            <w:r w:rsidR="007E17DE">
              <w:rPr>
                <w:rFonts w:ascii="Garamond" w:hAnsi="Garamond"/>
                <w:color w:val="000000"/>
                <w:sz w:val="22"/>
                <w:szCs w:val="22"/>
              </w:rPr>
              <w:t xml:space="preserve"> </w:t>
            </w:r>
            <w:r w:rsidRPr="00FC2F94">
              <w:rPr>
                <w:rFonts w:ascii="Garamond" w:hAnsi="Garamond"/>
                <w:color w:val="000000"/>
                <w:sz w:val="22"/>
                <w:szCs w:val="22"/>
              </w:rPr>
              <w:t>Please note that faculty are mandatory reporters</w:t>
            </w:r>
            <w:r w:rsidR="007E17DE" w:rsidRPr="00FC2F94">
              <w:rPr>
                <w:rFonts w:ascii="Garamond" w:hAnsi="Garamond"/>
                <w:color w:val="000000"/>
                <w:sz w:val="22"/>
                <w:szCs w:val="22"/>
              </w:rPr>
              <w:t>.</w:t>
            </w:r>
            <w:r w:rsidR="007E17DE">
              <w:rPr>
                <w:rFonts w:ascii="Garamond" w:hAnsi="Garamond"/>
                <w:color w:val="000000"/>
                <w:sz w:val="22"/>
                <w:szCs w:val="22"/>
              </w:rPr>
              <w:t xml:space="preserve"> </w:t>
            </w:r>
            <w:r w:rsidRPr="00FC2F94">
              <w:rPr>
                <w:rFonts w:ascii="Garamond" w:hAnsi="Garamond"/>
                <w:color w:val="000000"/>
                <w:sz w:val="22"/>
                <w:szCs w:val="22"/>
              </w:rPr>
              <w:t xml:space="preserve">If students notify faculty of sexual harassment, </w:t>
            </w:r>
            <w:r w:rsidR="005730F8">
              <w:rPr>
                <w:rFonts w:ascii="Garamond" w:hAnsi="Garamond"/>
                <w:color w:val="000000"/>
                <w:sz w:val="22"/>
                <w:szCs w:val="22"/>
              </w:rPr>
              <w:t>faculty</w:t>
            </w:r>
            <w:r w:rsidRPr="00FC2F94">
              <w:rPr>
                <w:rFonts w:ascii="Garamond" w:hAnsi="Garamond"/>
                <w:color w:val="000000"/>
                <w:sz w:val="22"/>
                <w:szCs w:val="22"/>
              </w:rPr>
              <w:t xml:space="preserve"> must report it to the Title IX Coordinator. For more information about sexual harassment</w:t>
            </w:r>
            <w:r w:rsidR="007E6030">
              <w:rPr>
                <w:rFonts w:ascii="Garamond" w:hAnsi="Garamond"/>
                <w:color w:val="000000"/>
                <w:sz w:val="22"/>
                <w:szCs w:val="22"/>
              </w:rPr>
              <w:t>,</w:t>
            </w:r>
            <w:r w:rsidRPr="00FC2F94">
              <w:rPr>
                <w:rFonts w:ascii="Garamond" w:hAnsi="Garamond"/>
                <w:color w:val="000000"/>
                <w:sz w:val="22"/>
                <w:szCs w:val="22"/>
              </w:rPr>
              <w:t xml:space="preserve"> including resources available to assist students, please</w:t>
            </w:r>
            <w:r w:rsidR="007E17DE">
              <w:rPr>
                <w:rFonts w:ascii="Garamond" w:hAnsi="Garamond"/>
                <w:color w:val="000000"/>
                <w:sz w:val="22"/>
                <w:szCs w:val="22"/>
              </w:rPr>
              <w:t xml:space="preserve"> </w:t>
            </w:r>
            <w:r w:rsidRPr="00FC2F94">
              <w:rPr>
                <w:rFonts w:ascii="Garamond" w:hAnsi="Garamond"/>
                <w:color w:val="000000"/>
                <w:sz w:val="22"/>
                <w:szCs w:val="22"/>
              </w:rPr>
              <w:t>visit</w:t>
            </w:r>
            <w:r w:rsidR="007E17DE">
              <w:rPr>
                <w:rStyle w:val="apple-converted-space"/>
                <w:rFonts w:ascii="Garamond" w:hAnsi="Garamond"/>
                <w:color w:val="000000"/>
                <w:sz w:val="22"/>
                <w:szCs w:val="22"/>
              </w:rPr>
              <w:t xml:space="preserve"> </w:t>
            </w:r>
            <w:hyperlink r:id="rId9" w:history="1">
              <w:r w:rsidRPr="00FC2F94">
                <w:rPr>
                  <w:rStyle w:val="Hyperlink"/>
                  <w:rFonts w:ascii="Garamond" w:hAnsi="Garamond"/>
                  <w:color w:val="0563C1"/>
                  <w:sz w:val="22"/>
                  <w:szCs w:val="22"/>
                </w:rPr>
                <w:t>www.smu.edu/sexualmisconduct</w:t>
              </w:r>
            </w:hyperlink>
            <w:r w:rsidRPr="00FC2F94">
              <w:rPr>
                <w:rFonts w:ascii="Garamond" w:hAnsi="Garamond"/>
                <w:color w:val="000000"/>
                <w:sz w:val="22"/>
                <w:szCs w:val="22"/>
              </w:rPr>
              <w:t>.</w:t>
            </w:r>
          </w:p>
        </w:tc>
      </w:tr>
      <w:tr w:rsidR="00BE3AB2" w:rsidRPr="00FC2F94" w14:paraId="369D0268" w14:textId="77777777" w:rsidTr="00E466FD">
        <w:tc>
          <w:tcPr>
            <w:tcW w:w="1885" w:type="dxa"/>
          </w:tcPr>
          <w:p w14:paraId="5205223A" w14:textId="7503102D" w:rsidR="00BE3AB2" w:rsidRPr="00FC2F94" w:rsidRDefault="00BE3AB2">
            <w:pPr>
              <w:rPr>
                <w:rFonts w:ascii="Garamond" w:hAnsi="Garamond" w:cs="Times New Roman"/>
                <w:sz w:val="22"/>
                <w:szCs w:val="22"/>
              </w:rPr>
            </w:pPr>
            <w:r>
              <w:rPr>
                <w:rFonts w:ascii="Garamond" w:hAnsi="Garamond" w:cs="Times New Roman"/>
                <w:sz w:val="22"/>
                <w:szCs w:val="22"/>
              </w:rPr>
              <w:t>Pregnant and Parenting Students</w:t>
            </w:r>
          </w:p>
        </w:tc>
        <w:tc>
          <w:tcPr>
            <w:tcW w:w="7650" w:type="dxa"/>
          </w:tcPr>
          <w:p w14:paraId="29FEFF83" w14:textId="0CC466E5" w:rsidR="00BE3AB2" w:rsidRPr="00FC2F94" w:rsidRDefault="00BE3AB2" w:rsidP="00EE5EDC">
            <w:pPr>
              <w:rPr>
                <w:rFonts w:ascii="Garamond" w:hAnsi="Garamond"/>
                <w:color w:val="000000"/>
                <w:sz w:val="22"/>
                <w:szCs w:val="22"/>
              </w:rPr>
            </w:pPr>
            <w:r w:rsidRPr="00FC2F94">
              <w:rPr>
                <w:rFonts w:ascii="Garamond" w:hAnsi="Garamond"/>
                <w:sz w:val="22"/>
                <w:szCs w:val="22"/>
              </w:rPr>
              <w:t>Under Title IX</w:t>
            </w:r>
            <w:r w:rsidR="007E17DE">
              <w:rPr>
                <w:rFonts w:ascii="Garamond" w:hAnsi="Garamond"/>
                <w:sz w:val="22"/>
                <w:szCs w:val="22"/>
              </w:rPr>
              <w:t>,</w:t>
            </w:r>
            <w:r w:rsidRPr="00FC2F94">
              <w:rPr>
                <w:rFonts w:ascii="Garamond" w:hAnsi="Garamond"/>
                <w:sz w:val="22"/>
                <w:szCs w:val="22"/>
              </w:rPr>
              <w:t xml:space="preserve"> students who are pregnant or parenting may request academic adjustments by contacting Elsie Johnson (</w:t>
            </w:r>
            <w:r w:rsidRPr="00FC2F94">
              <w:rPr>
                <w:rFonts w:ascii="Garamond" w:hAnsi="Garamond"/>
                <w:color w:val="0563C1"/>
                <w:sz w:val="22"/>
                <w:szCs w:val="22"/>
                <w:u w:val="single" w:color="0563C1"/>
              </w:rPr>
              <w:t>elsiej@smu.edu</w:t>
            </w:r>
            <w:r w:rsidRPr="00FC2F94">
              <w:rPr>
                <w:rFonts w:ascii="Garamond" w:hAnsi="Garamond"/>
                <w:sz w:val="22"/>
                <w:szCs w:val="22"/>
              </w:rPr>
              <w:t>) in the Office of the Dean of Students, or by calling 214-768-4564</w:t>
            </w:r>
            <w:r w:rsidR="007E17DE" w:rsidRPr="00FC2F94">
              <w:rPr>
                <w:rFonts w:ascii="Garamond" w:hAnsi="Garamond"/>
                <w:sz w:val="22"/>
                <w:szCs w:val="22"/>
              </w:rPr>
              <w:t>.</w:t>
            </w:r>
            <w:r w:rsidR="007E17DE">
              <w:rPr>
                <w:rFonts w:ascii="Garamond" w:hAnsi="Garamond"/>
                <w:sz w:val="22"/>
                <w:szCs w:val="22"/>
              </w:rPr>
              <w:t xml:space="preserve"> </w:t>
            </w:r>
            <w:r w:rsidRPr="00FC2F94">
              <w:rPr>
                <w:rFonts w:ascii="Garamond" w:hAnsi="Garamond"/>
                <w:sz w:val="22"/>
                <w:szCs w:val="22"/>
              </w:rPr>
              <w:t>Students seeking assistance must schedule an appointment with their professors as early as possible, present a letter from the Office of the Dean of Students, and make appropriate arrangements</w:t>
            </w:r>
            <w:r w:rsidR="007E17DE" w:rsidRPr="00FC2F94">
              <w:rPr>
                <w:rFonts w:ascii="Garamond" w:hAnsi="Garamond"/>
                <w:sz w:val="22"/>
                <w:szCs w:val="22"/>
              </w:rPr>
              <w:t>.</w:t>
            </w:r>
            <w:r w:rsidR="007E17DE">
              <w:rPr>
                <w:rFonts w:ascii="Garamond" w:hAnsi="Garamond"/>
                <w:sz w:val="22"/>
                <w:szCs w:val="22"/>
              </w:rPr>
              <w:t xml:space="preserve"> </w:t>
            </w:r>
            <w:r w:rsidRPr="00FC2F94">
              <w:rPr>
                <w:rFonts w:ascii="Garamond" w:hAnsi="Garamond"/>
                <w:sz w:val="22"/>
                <w:szCs w:val="22"/>
              </w:rPr>
              <w:t>Please note that academic adjustments are not retroactive and, when feasible, require advance notice to implement.</w:t>
            </w:r>
          </w:p>
        </w:tc>
      </w:tr>
    </w:tbl>
    <w:p w14:paraId="3AB5E03E" w14:textId="409278C2" w:rsidR="00DA42B9" w:rsidRDefault="00DA42B9">
      <w:pPr>
        <w:rPr>
          <w:rFonts w:ascii="Garamond" w:hAnsi="Garamond" w:cs="Times New Roman"/>
          <w:sz w:val="22"/>
          <w:szCs w:val="22"/>
        </w:rPr>
      </w:pPr>
    </w:p>
    <w:p w14:paraId="4E2F904E" w14:textId="155C3D28" w:rsidR="0063609D" w:rsidRPr="0063609D" w:rsidRDefault="0063609D">
      <w:pPr>
        <w:rPr>
          <w:rFonts w:ascii="Garamond" w:hAnsi="Garamond" w:cs="Times New Roman"/>
          <w:b/>
          <w:bCs/>
          <w:sz w:val="22"/>
          <w:szCs w:val="22"/>
        </w:rPr>
      </w:pPr>
      <w:r>
        <w:rPr>
          <w:rFonts w:ascii="Garamond" w:hAnsi="Garamond" w:cs="Times New Roman"/>
          <w:b/>
          <w:bCs/>
          <w:sz w:val="22"/>
          <w:szCs w:val="22"/>
        </w:rPr>
        <w:t>SMU</w:t>
      </w:r>
      <w:r w:rsidRPr="0063609D">
        <w:rPr>
          <w:rFonts w:ascii="Garamond" w:hAnsi="Garamond" w:cs="Times New Roman"/>
          <w:b/>
          <w:bCs/>
          <w:sz w:val="22"/>
          <w:szCs w:val="22"/>
        </w:rPr>
        <w:t xml:space="preserve"> Requirements</w:t>
      </w:r>
    </w:p>
    <w:p w14:paraId="6E457B47" w14:textId="492B5F74" w:rsidR="0063609D" w:rsidRDefault="0063609D">
      <w:pPr>
        <w:rPr>
          <w:rFonts w:ascii="Garamond" w:hAnsi="Garamond" w:cs="Times New Roman"/>
          <w:sz w:val="22"/>
          <w:szCs w:val="22"/>
        </w:rPr>
      </w:pPr>
    </w:p>
    <w:tbl>
      <w:tblPr>
        <w:tblStyle w:val="TableGrid"/>
        <w:tblW w:w="9535" w:type="dxa"/>
        <w:tblLayout w:type="fixed"/>
        <w:tblLook w:val="04A0" w:firstRow="1" w:lastRow="0" w:firstColumn="1" w:lastColumn="0" w:noHBand="0" w:noVBand="1"/>
      </w:tblPr>
      <w:tblGrid>
        <w:gridCol w:w="1885"/>
        <w:gridCol w:w="7650"/>
      </w:tblGrid>
      <w:tr w:rsidR="0063609D" w:rsidRPr="00FC2F94" w14:paraId="72AE1ABD" w14:textId="77777777" w:rsidTr="00F267C1">
        <w:tc>
          <w:tcPr>
            <w:tcW w:w="1885" w:type="dxa"/>
          </w:tcPr>
          <w:p w14:paraId="6F9A5705" w14:textId="77777777" w:rsidR="0063609D" w:rsidRPr="00FC2F94" w:rsidRDefault="0063609D" w:rsidP="00F267C1">
            <w:pPr>
              <w:rPr>
                <w:rFonts w:ascii="Garamond" w:hAnsi="Garamond" w:cs="Times New Roman"/>
                <w:sz w:val="22"/>
                <w:szCs w:val="22"/>
              </w:rPr>
            </w:pPr>
            <w:r w:rsidRPr="00FC2F94">
              <w:rPr>
                <w:rFonts w:ascii="Garamond" w:hAnsi="Garamond" w:cs="Times New Roman"/>
                <w:sz w:val="22"/>
                <w:szCs w:val="22"/>
              </w:rPr>
              <w:t>Religious Observance</w:t>
            </w:r>
          </w:p>
        </w:tc>
        <w:tc>
          <w:tcPr>
            <w:tcW w:w="7650" w:type="dxa"/>
          </w:tcPr>
          <w:p w14:paraId="0F094BD0" w14:textId="3BAC1972" w:rsidR="0063609D" w:rsidRPr="00FC2F94" w:rsidRDefault="0063609D" w:rsidP="00F267C1">
            <w:pPr>
              <w:spacing w:after="15" w:line="249" w:lineRule="auto"/>
              <w:ind w:right="406"/>
              <w:rPr>
                <w:rFonts w:ascii="Garamond" w:hAnsi="Garamond"/>
                <w:sz w:val="22"/>
                <w:szCs w:val="22"/>
              </w:rPr>
            </w:pPr>
            <w:r w:rsidRPr="00FC2F94">
              <w:rPr>
                <w:rFonts w:ascii="Garamond" w:hAnsi="Garamond"/>
                <w:sz w:val="22"/>
                <w:szCs w:val="22"/>
              </w:rPr>
              <w:t xml:space="preserve">Religiously observant students wishing to be absent on holidays that require missing class should notify their professors in writing at the beginning of the semester and should discuss with them, in advance, acceptable ways of making up any work missed because of the absence. </w:t>
            </w:r>
            <w:hyperlink r:id="rId10" w:history="1">
              <w:r w:rsidRPr="00FC2F94">
                <w:rPr>
                  <w:rStyle w:val="Hyperlink"/>
                  <w:rFonts w:ascii="Garamond" w:hAnsi="Garamond"/>
                  <w:sz w:val="22"/>
                  <w:szCs w:val="22"/>
                </w:rPr>
                <w:t>Click here for a list of holidays.</w:t>
              </w:r>
            </w:hyperlink>
            <w:r w:rsidRPr="00FC2F94">
              <w:rPr>
                <w:rFonts w:ascii="Garamond" w:hAnsi="Garamond"/>
                <w:sz w:val="22"/>
                <w:szCs w:val="22"/>
              </w:rPr>
              <w:t xml:space="preserve"> </w:t>
            </w:r>
          </w:p>
        </w:tc>
      </w:tr>
      <w:tr w:rsidR="0063609D" w:rsidRPr="00FC2F94" w14:paraId="4431989D" w14:textId="77777777" w:rsidTr="00F267C1">
        <w:tc>
          <w:tcPr>
            <w:tcW w:w="1885" w:type="dxa"/>
          </w:tcPr>
          <w:p w14:paraId="1C44BCFF" w14:textId="3BCEA438" w:rsidR="0063609D" w:rsidRPr="00FC2F94" w:rsidRDefault="0063609D" w:rsidP="00F267C1">
            <w:pPr>
              <w:rPr>
                <w:rFonts w:ascii="Garamond" w:hAnsi="Garamond" w:cs="Times New Roman"/>
                <w:sz w:val="22"/>
                <w:szCs w:val="22"/>
              </w:rPr>
            </w:pPr>
            <w:r w:rsidRPr="00FC2F94">
              <w:rPr>
                <w:rFonts w:ascii="Garamond" w:hAnsi="Garamond" w:cs="Times New Roman"/>
                <w:sz w:val="22"/>
                <w:szCs w:val="22"/>
              </w:rPr>
              <w:t xml:space="preserve">COVID-19 and </w:t>
            </w:r>
            <w:r w:rsidR="007E6030">
              <w:rPr>
                <w:rFonts w:ascii="Garamond" w:hAnsi="Garamond" w:cs="Times New Roman"/>
                <w:sz w:val="22"/>
                <w:szCs w:val="22"/>
              </w:rPr>
              <w:t xml:space="preserve">Other </w:t>
            </w:r>
            <w:r w:rsidRPr="00FC2F94">
              <w:rPr>
                <w:rFonts w:ascii="Garamond" w:hAnsi="Garamond" w:cs="Times New Roman"/>
                <w:sz w:val="22"/>
                <w:szCs w:val="22"/>
              </w:rPr>
              <w:t xml:space="preserve">Medical-Related Absences </w:t>
            </w:r>
          </w:p>
        </w:tc>
        <w:tc>
          <w:tcPr>
            <w:tcW w:w="7650" w:type="dxa"/>
          </w:tcPr>
          <w:p w14:paraId="141351B0" w14:textId="655F14DE" w:rsidR="0063609D" w:rsidRPr="00E466FD" w:rsidRDefault="0063609D" w:rsidP="00F267C1">
            <w:r>
              <w:rPr>
                <w:rFonts w:ascii="Garamond" w:hAnsi="Garamond"/>
                <w:color w:val="000000"/>
                <w:sz w:val="22"/>
                <w:szCs w:val="22"/>
              </w:rPr>
              <w:t xml:space="preserve">Students who test positive for COVID-19 and need to isolate, or </w:t>
            </w:r>
            <w:r w:rsidRPr="008D3B2A">
              <w:rPr>
                <w:rFonts w:ascii="Garamond" w:hAnsi="Garamond"/>
                <w:color w:val="000000" w:themeColor="text1"/>
                <w:sz w:val="22"/>
                <w:szCs w:val="22"/>
              </w:rPr>
              <w:t>who are</w:t>
            </w:r>
            <w:r w:rsidRPr="008D3B2A">
              <w:rPr>
                <w:rStyle w:val="apple-converted-space"/>
                <w:rFonts w:ascii="Garamond" w:hAnsi="Garamond"/>
                <w:color w:val="000000" w:themeColor="text1"/>
                <w:sz w:val="22"/>
                <w:szCs w:val="22"/>
              </w:rPr>
              <w:t> </w:t>
            </w:r>
            <w:r>
              <w:rPr>
                <w:rFonts w:ascii="Garamond" w:hAnsi="Garamond"/>
                <w:color w:val="000000"/>
                <w:sz w:val="22"/>
                <w:szCs w:val="22"/>
              </w:rPr>
              <w:t>notified of potential exposure</w:t>
            </w:r>
            <w:r w:rsidR="00907B4B">
              <w:rPr>
                <w:rFonts w:ascii="Garamond" w:hAnsi="Garamond"/>
                <w:color w:val="000000"/>
                <w:sz w:val="22"/>
                <w:szCs w:val="22"/>
              </w:rPr>
              <w:t xml:space="preserve">, </w:t>
            </w:r>
            <w:r>
              <w:rPr>
                <w:rFonts w:ascii="Garamond" w:hAnsi="Garamond"/>
                <w:color w:val="000000"/>
                <w:sz w:val="22"/>
                <w:szCs w:val="22"/>
              </w:rPr>
              <w:t xml:space="preserve">must follow </w:t>
            </w:r>
            <w:hyperlink r:id="rId11" w:tooltip="https://www.smu.edu/Coronavirus/Contact-Tracing" w:history="1">
              <w:r>
                <w:rPr>
                  <w:rStyle w:val="Hyperlink"/>
                  <w:rFonts w:ascii="Garamond" w:hAnsi="Garamond" w:cs="Calibri"/>
                  <w:color w:val="0070C0"/>
                  <w:sz w:val="22"/>
                  <w:szCs w:val="22"/>
                </w:rPr>
                <w:t>SMU’s Contact Tracing Protocol</w:t>
              </w:r>
            </w:hyperlink>
            <w:hyperlink r:id="rId12" w:history="1">
              <w:r>
                <w:rPr>
                  <w:rStyle w:val="Hyperlink"/>
                  <w:rFonts w:ascii="Garamond" w:hAnsi="Garamond" w:cs="Calibri"/>
                  <w:color w:val="0070C0"/>
                  <w:sz w:val="22"/>
                  <w:szCs w:val="22"/>
                </w:rPr>
                <w:t>.</w:t>
              </w:r>
            </w:hyperlink>
            <w:r>
              <w:rPr>
                <w:rFonts w:ascii="Garamond" w:hAnsi="Garamond"/>
                <w:color w:val="0070C0"/>
                <w:sz w:val="22"/>
                <w:szCs w:val="22"/>
              </w:rPr>
              <w:t> </w:t>
            </w:r>
            <w:r>
              <w:rPr>
                <w:rFonts w:ascii="Garamond" w:hAnsi="Garamond"/>
                <w:color w:val="000000"/>
                <w:sz w:val="22"/>
                <w:szCs w:val="22"/>
              </w:rPr>
              <w:t xml:space="preserve">To ensure </w:t>
            </w:r>
            <w:r w:rsidRPr="008D3B2A">
              <w:rPr>
                <w:rFonts w:ascii="Garamond" w:hAnsi="Garamond"/>
                <w:color w:val="000000" w:themeColor="text1"/>
                <w:sz w:val="22"/>
                <w:szCs w:val="22"/>
              </w:rPr>
              <w:t xml:space="preserve">academic continuity and avoid any course penalties, </w:t>
            </w:r>
            <w:r>
              <w:rPr>
                <w:rFonts w:ascii="Garamond" w:hAnsi="Garamond"/>
                <w:color w:val="000000" w:themeColor="text1"/>
                <w:sz w:val="22"/>
                <w:szCs w:val="22"/>
              </w:rPr>
              <w:t>students should</w:t>
            </w:r>
            <w:r w:rsidRPr="008D3B2A">
              <w:rPr>
                <w:rFonts w:ascii="Garamond" w:hAnsi="Garamond"/>
                <w:color w:val="000000" w:themeColor="text1"/>
                <w:sz w:val="22"/>
                <w:szCs w:val="22"/>
              </w:rPr>
              <w:t xml:space="preserve"> follow the same procedures described by </w:t>
            </w:r>
            <w:r>
              <w:rPr>
                <w:rFonts w:ascii="Garamond" w:hAnsi="Garamond"/>
                <w:color w:val="000000" w:themeColor="text1"/>
                <w:sz w:val="22"/>
                <w:szCs w:val="22"/>
              </w:rPr>
              <w:t>their</w:t>
            </w:r>
            <w:r w:rsidRPr="008D3B2A">
              <w:rPr>
                <w:rFonts w:ascii="Garamond" w:hAnsi="Garamond"/>
                <w:color w:val="000000" w:themeColor="text1"/>
                <w:sz w:val="22"/>
                <w:szCs w:val="22"/>
              </w:rPr>
              <w:t xml:space="preserve"> instructor</w:t>
            </w:r>
            <w:r>
              <w:rPr>
                <w:rFonts w:ascii="Garamond" w:hAnsi="Garamond"/>
                <w:color w:val="000000" w:themeColor="text1"/>
                <w:sz w:val="22"/>
                <w:szCs w:val="22"/>
              </w:rPr>
              <w:t>s</w:t>
            </w:r>
            <w:r w:rsidRPr="008D3B2A">
              <w:rPr>
                <w:rFonts w:ascii="Garamond" w:hAnsi="Garamond"/>
                <w:color w:val="000000" w:themeColor="text1"/>
                <w:sz w:val="22"/>
                <w:szCs w:val="22"/>
              </w:rPr>
              <w:t xml:space="preserve"> as </w:t>
            </w:r>
            <w:r w:rsidR="007E6030">
              <w:rPr>
                <w:rFonts w:ascii="Garamond" w:hAnsi="Garamond"/>
                <w:color w:val="000000" w:themeColor="text1"/>
                <w:sz w:val="22"/>
                <w:szCs w:val="22"/>
              </w:rPr>
              <w:t xml:space="preserve">they would </w:t>
            </w:r>
            <w:r w:rsidRPr="008D3B2A">
              <w:rPr>
                <w:rFonts w:ascii="Garamond" w:hAnsi="Garamond"/>
                <w:color w:val="000000" w:themeColor="text1"/>
                <w:sz w:val="22"/>
                <w:szCs w:val="22"/>
              </w:rPr>
              <w:t xml:space="preserve">for any other medical-related absence </w:t>
            </w:r>
            <w:r>
              <w:rPr>
                <w:rFonts w:ascii="Garamond" w:hAnsi="Garamond"/>
                <w:color w:val="000000" w:themeColor="text1"/>
                <w:sz w:val="22"/>
                <w:szCs w:val="22"/>
              </w:rPr>
              <w:t xml:space="preserve">in order </w:t>
            </w:r>
            <w:r w:rsidRPr="008D3B2A">
              <w:rPr>
                <w:rFonts w:ascii="Garamond" w:hAnsi="Garamond"/>
                <w:color w:val="000000" w:themeColor="text1"/>
                <w:sz w:val="22"/>
                <w:szCs w:val="22"/>
              </w:rPr>
              <w:t xml:space="preserve">to be provided with appropriate </w:t>
            </w:r>
            <w:r>
              <w:rPr>
                <w:rFonts w:ascii="Garamond" w:hAnsi="Garamond"/>
                <w:color w:val="000000"/>
                <w:sz w:val="22"/>
                <w:szCs w:val="22"/>
              </w:rPr>
              <w:t>modifications to assignments, deadlines, and exams.</w:t>
            </w:r>
          </w:p>
        </w:tc>
      </w:tr>
      <w:tr w:rsidR="0063609D" w:rsidRPr="00FC2F94" w14:paraId="75858E60" w14:textId="77777777" w:rsidTr="00F267C1">
        <w:tc>
          <w:tcPr>
            <w:tcW w:w="1885" w:type="dxa"/>
          </w:tcPr>
          <w:p w14:paraId="4698877F" w14:textId="77777777" w:rsidR="0063609D" w:rsidRPr="00FC2F94" w:rsidRDefault="0063609D" w:rsidP="00F267C1">
            <w:pPr>
              <w:rPr>
                <w:rFonts w:ascii="Garamond" w:hAnsi="Garamond" w:cs="Times New Roman"/>
                <w:bCs/>
                <w:sz w:val="22"/>
                <w:szCs w:val="22"/>
              </w:rPr>
            </w:pPr>
            <w:r w:rsidRPr="00FC2F94">
              <w:rPr>
                <w:rFonts w:ascii="Garamond" w:hAnsi="Garamond"/>
                <w:bCs/>
                <w:sz w:val="22"/>
                <w:szCs w:val="22"/>
              </w:rPr>
              <w:t>Excused Absences for University Extracurricular Activities</w:t>
            </w:r>
          </w:p>
        </w:tc>
        <w:tc>
          <w:tcPr>
            <w:tcW w:w="7650" w:type="dxa"/>
          </w:tcPr>
          <w:p w14:paraId="6492F9C9" w14:textId="65AC21A7" w:rsidR="0063609D" w:rsidRPr="00FC2F94" w:rsidRDefault="0063609D" w:rsidP="00F267C1">
            <w:pPr>
              <w:spacing w:after="15" w:line="249" w:lineRule="auto"/>
              <w:ind w:right="406"/>
              <w:rPr>
                <w:rFonts w:ascii="Garamond" w:hAnsi="Garamond"/>
                <w:sz w:val="22"/>
                <w:szCs w:val="22"/>
              </w:rPr>
            </w:pPr>
            <w:r w:rsidRPr="00FC2F94">
              <w:rPr>
                <w:rFonts w:ascii="Garamond" w:hAnsi="Garamond"/>
                <w:sz w:val="22"/>
                <w:szCs w:val="22"/>
              </w:rPr>
              <w:t xml:space="preserve">Students participating in an officially sanctioned, scheduled </w:t>
            </w:r>
            <w:r w:rsidR="000E3CCD">
              <w:rPr>
                <w:rFonts w:ascii="Garamond" w:hAnsi="Garamond"/>
                <w:sz w:val="22"/>
                <w:szCs w:val="22"/>
              </w:rPr>
              <w:t>u</w:t>
            </w:r>
            <w:r w:rsidRPr="00FC2F94">
              <w:rPr>
                <w:rFonts w:ascii="Garamond" w:hAnsi="Garamond"/>
                <w:sz w:val="22"/>
                <w:szCs w:val="22"/>
              </w:rPr>
              <w:t xml:space="preserve">niversity extracurricular activity should be given the opportunity to make up class assignments or other graded assignments </w:t>
            </w:r>
            <w:r w:rsidR="007E6030">
              <w:rPr>
                <w:rFonts w:ascii="Garamond" w:hAnsi="Garamond"/>
                <w:sz w:val="22"/>
                <w:szCs w:val="22"/>
              </w:rPr>
              <w:t xml:space="preserve">that were </w:t>
            </w:r>
            <w:r w:rsidRPr="00FC2F94">
              <w:rPr>
                <w:rFonts w:ascii="Garamond" w:hAnsi="Garamond"/>
                <w:sz w:val="22"/>
                <w:szCs w:val="22"/>
              </w:rPr>
              <w:t xml:space="preserve">missed as a result of their participation.  It is the responsibility of the student to make arrangements </w:t>
            </w:r>
            <w:r w:rsidR="007E6030">
              <w:rPr>
                <w:rFonts w:ascii="Garamond" w:hAnsi="Garamond"/>
                <w:sz w:val="22"/>
                <w:szCs w:val="22"/>
              </w:rPr>
              <w:t xml:space="preserve">for make-up work </w:t>
            </w:r>
            <w:r w:rsidRPr="00FC2F94">
              <w:rPr>
                <w:rFonts w:ascii="Garamond" w:hAnsi="Garamond"/>
                <w:sz w:val="22"/>
                <w:szCs w:val="22"/>
              </w:rPr>
              <w:t>with the instructor prior to any missed scheduled examination</w:t>
            </w:r>
            <w:r w:rsidR="007E6030">
              <w:rPr>
                <w:rFonts w:ascii="Garamond" w:hAnsi="Garamond"/>
                <w:sz w:val="22"/>
                <w:szCs w:val="22"/>
              </w:rPr>
              <w:t>s</w:t>
            </w:r>
            <w:r w:rsidRPr="00FC2F94">
              <w:rPr>
                <w:rFonts w:ascii="Garamond" w:hAnsi="Garamond"/>
                <w:sz w:val="22"/>
                <w:szCs w:val="22"/>
              </w:rPr>
              <w:t xml:space="preserve"> or other missed assignment</w:t>
            </w:r>
            <w:r w:rsidR="007E6030">
              <w:rPr>
                <w:rFonts w:ascii="Garamond" w:hAnsi="Garamond"/>
                <w:sz w:val="22"/>
                <w:szCs w:val="22"/>
              </w:rPr>
              <w:t>s</w:t>
            </w:r>
            <w:r w:rsidRPr="00FC2F94">
              <w:rPr>
                <w:rFonts w:ascii="Garamond" w:hAnsi="Garamond"/>
                <w:sz w:val="22"/>
                <w:szCs w:val="22"/>
              </w:rPr>
              <w:t xml:space="preserve">. (See </w:t>
            </w:r>
            <w:hyperlink r:id="rId13">
              <w:r w:rsidRPr="00FC2F94">
                <w:rPr>
                  <w:rFonts w:ascii="Garamond" w:hAnsi="Garamond"/>
                  <w:color w:val="0070C0"/>
                  <w:sz w:val="22"/>
                  <w:szCs w:val="22"/>
                  <w:u w:val="single" w:color="0070C0"/>
                </w:rPr>
                <w:t>2020</w:t>
              </w:r>
            </w:hyperlink>
            <w:hyperlink r:id="rId14">
              <w:r w:rsidRPr="00FC2F94">
                <w:rPr>
                  <w:rFonts w:ascii="Garamond" w:hAnsi="Garamond"/>
                  <w:color w:val="0070C0"/>
                  <w:sz w:val="22"/>
                  <w:szCs w:val="22"/>
                  <w:u w:val="single" w:color="0070C0"/>
                </w:rPr>
                <w:t>-</w:t>
              </w:r>
            </w:hyperlink>
            <w:hyperlink r:id="rId15">
              <w:r w:rsidR="007E17DE" w:rsidRPr="00FC2F94">
                <w:rPr>
                  <w:rFonts w:ascii="Garamond" w:hAnsi="Garamond"/>
                  <w:color w:val="0070C0"/>
                  <w:sz w:val="22"/>
                  <w:szCs w:val="22"/>
                  <w:u w:val="single" w:color="0070C0"/>
                </w:rPr>
                <w:t>2021 SMU Undergraduate Catalog</w:t>
              </w:r>
            </w:hyperlink>
            <w:r w:rsidR="007E17DE">
              <w:t xml:space="preserve"> </w:t>
            </w:r>
            <w:r w:rsidRPr="00FC2F94">
              <w:rPr>
                <w:rFonts w:ascii="Garamond" w:hAnsi="Garamond"/>
                <w:sz w:val="22"/>
                <w:szCs w:val="22"/>
              </w:rPr>
              <w:t>under “Enrollment and Academic Records/Excused Absences.”)</w:t>
            </w:r>
            <w:r w:rsidRPr="00FC2F94">
              <w:rPr>
                <w:rFonts w:ascii="Garamond" w:eastAsia="Calibri" w:hAnsi="Garamond" w:cs="Calibri"/>
                <w:sz w:val="22"/>
                <w:szCs w:val="22"/>
              </w:rPr>
              <w:t xml:space="preserve"> </w:t>
            </w:r>
          </w:p>
        </w:tc>
      </w:tr>
      <w:tr w:rsidR="0063609D" w:rsidRPr="00FC2F94" w14:paraId="535038E6" w14:textId="77777777" w:rsidTr="00F267C1">
        <w:tc>
          <w:tcPr>
            <w:tcW w:w="1885" w:type="dxa"/>
          </w:tcPr>
          <w:p w14:paraId="1FB3EA78" w14:textId="77777777" w:rsidR="0063609D" w:rsidRPr="00FC2F94" w:rsidRDefault="0063609D" w:rsidP="00F267C1">
            <w:pPr>
              <w:rPr>
                <w:rFonts w:ascii="Garamond" w:hAnsi="Garamond" w:cs="Times New Roman"/>
                <w:sz w:val="22"/>
                <w:szCs w:val="22"/>
              </w:rPr>
            </w:pPr>
            <w:r w:rsidRPr="00FC2F94">
              <w:rPr>
                <w:rFonts w:ascii="Garamond" w:hAnsi="Garamond" w:cs="Times New Roman"/>
                <w:sz w:val="22"/>
                <w:szCs w:val="22"/>
              </w:rPr>
              <w:t>Final Exams</w:t>
            </w:r>
          </w:p>
        </w:tc>
        <w:tc>
          <w:tcPr>
            <w:tcW w:w="7650" w:type="dxa"/>
          </w:tcPr>
          <w:p w14:paraId="5436BF28" w14:textId="63490C45" w:rsidR="0063609D" w:rsidRPr="00FC2F94" w:rsidRDefault="0063609D" w:rsidP="00F267C1">
            <w:pPr>
              <w:rPr>
                <w:rFonts w:ascii="Garamond" w:hAnsi="Garamond"/>
                <w:sz w:val="22"/>
                <w:szCs w:val="22"/>
              </w:rPr>
            </w:pPr>
            <w:r w:rsidRPr="00FC2F94">
              <w:rPr>
                <w:rFonts w:ascii="Garamond" w:hAnsi="Garamond"/>
                <w:sz w:val="22"/>
                <w:szCs w:val="22"/>
              </w:rPr>
              <w:t xml:space="preserve">Final course examinations shall be given in all courses where appropriate, and some form of final assessment is essential. Final exams </w:t>
            </w:r>
            <w:r>
              <w:rPr>
                <w:rFonts w:ascii="Garamond" w:hAnsi="Garamond"/>
                <w:sz w:val="22"/>
                <w:szCs w:val="22"/>
              </w:rPr>
              <w:t>and</w:t>
            </w:r>
            <w:r w:rsidRPr="00FC2F94">
              <w:rPr>
                <w:rFonts w:ascii="Garamond" w:hAnsi="Garamond"/>
                <w:sz w:val="22"/>
                <w:szCs w:val="22"/>
              </w:rPr>
              <w:t xml:space="preserve"> assessments must be administered as specified in the official examination schedule</w:t>
            </w:r>
            <w:r>
              <w:rPr>
                <w:rFonts w:ascii="Garamond" w:hAnsi="Garamond"/>
                <w:sz w:val="22"/>
                <w:szCs w:val="22"/>
              </w:rPr>
              <w:t>. Exams can</w:t>
            </w:r>
            <w:r w:rsidRPr="00FC2F94">
              <w:rPr>
                <w:rFonts w:ascii="Garamond" w:hAnsi="Garamond"/>
                <w:sz w:val="22"/>
                <w:szCs w:val="22"/>
              </w:rPr>
              <w:t xml:space="preserve">not be </w:t>
            </w:r>
            <w:r w:rsidRPr="00FC2F94">
              <w:rPr>
                <w:rFonts w:ascii="Garamond" w:hAnsi="Garamond"/>
                <w:sz w:val="22"/>
                <w:szCs w:val="22"/>
              </w:rPr>
              <w:lastRenderedPageBreak/>
              <w:t>administered</w:t>
            </w:r>
            <w:r w:rsidR="000E3CCD">
              <w:rPr>
                <w:rFonts w:ascii="Garamond" w:hAnsi="Garamond"/>
                <w:sz w:val="22"/>
                <w:szCs w:val="22"/>
              </w:rPr>
              <w:t xml:space="preserve"> </w:t>
            </w:r>
            <w:r w:rsidRPr="00FC2F94">
              <w:rPr>
                <w:rFonts w:ascii="Garamond" w:hAnsi="Garamond"/>
                <w:sz w:val="22"/>
                <w:szCs w:val="22"/>
              </w:rPr>
              <w:t xml:space="preserve">or due during the last week of classes or during the Reading Period. </w:t>
            </w:r>
            <w:r>
              <w:rPr>
                <w:rFonts w:ascii="Garamond" w:hAnsi="Garamond"/>
                <w:sz w:val="22"/>
                <w:szCs w:val="22"/>
              </w:rPr>
              <w:t>S</w:t>
            </w:r>
            <w:r w:rsidRPr="00FC2F94">
              <w:rPr>
                <w:rFonts w:ascii="Garamond" w:hAnsi="Garamond"/>
                <w:sz w:val="22"/>
                <w:szCs w:val="22"/>
              </w:rPr>
              <w:t>yllab</w:t>
            </w:r>
            <w:r>
              <w:rPr>
                <w:rFonts w:ascii="Garamond" w:hAnsi="Garamond"/>
                <w:sz w:val="22"/>
                <w:szCs w:val="22"/>
              </w:rPr>
              <w:t>i must state clearly</w:t>
            </w:r>
            <w:r w:rsidRPr="00FC2F94">
              <w:rPr>
                <w:rFonts w:ascii="Garamond" w:hAnsi="Garamond"/>
                <w:sz w:val="22"/>
                <w:szCs w:val="22"/>
              </w:rPr>
              <w:t xml:space="preserve"> the form of the final </w:t>
            </w:r>
            <w:r>
              <w:rPr>
                <w:rFonts w:ascii="Garamond" w:hAnsi="Garamond"/>
                <w:sz w:val="22"/>
                <w:szCs w:val="22"/>
              </w:rPr>
              <w:t>exam or assessment</w:t>
            </w:r>
            <w:r w:rsidRPr="00FC2F94">
              <w:rPr>
                <w:rFonts w:ascii="Garamond" w:hAnsi="Garamond"/>
                <w:sz w:val="22"/>
                <w:szCs w:val="22"/>
              </w:rPr>
              <w:t>,</w:t>
            </w:r>
            <w:r>
              <w:rPr>
                <w:rFonts w:ascii="Garamond" w:hAnsi="Garamond"/>
                <w:sz w:val="22"/>
                <w:szCs w:val="22"/>
              </w:rPr>
              <w:t xml:space="preserve"> and the due date</w:t>
            </w:r>
            <w:r w:rsidRPr="00FC2F94">
              <w:rPr>
                <w:rFonts w:ascii="Garamond" w:hAnsi="Garamond"/>
                <w:sz w:val="22"/>
                <w:szCs w:val="22"/>
              </w:rPr>
              <w:t xml:space="preserve"> </w:t>
            </w:r>
            <w:r>
              <w:rPr>
                <w:rFonts w:ascii="Garamond" w:hAnsi="Garamond"/>
                <w:sz w:val="22"/>
                <w:szCs w:val="22"/>
              </w:rPr>
              <w:t>and time</w:t>
            </w:r>
            <w:r w:rsidRPr="00FC2F94">
              <w:rPr>
                <w:rFonts w:ascii="Garamond" w:hAnsi="Garamond"/>
                <w:sz w:val="22"/>
                <w:szCs w:val="22"/>
              </w:rPr>
              <w:t xml:space="preserve"> must match the official </w:t>
            </w:r>
            <w:r w:rsidR="007E17DE" w:rsidRPr="00FC2F94">
              <w:rPr>
                <w:rFonts w:ascii="Garamond" w:hAnsi="Garamond"/>
                <w:sz w:val="22"/>
                <w:szCs w:val="22"/>
              </w:rPr>
              <w:t>SMU</w:t>
            </w:r>
            <w:r w:rsidR="007E17DE">
              <w:rPr>
                <w:rFonts w:ascii="Garamond" w:hAnsi="Garamond"/>
                <w:sz w:val="22"/>
                <w:szCs w:val="22"/>
              </w:rPr>
              <w:t xml:space="preserve"> </w:t>
            </w:r>
            <w:r w:rsidRPr="00FC2F94">
              <w:rPr>
                <w:rFonts w:ascii="Garamond" w:hAnsi="Garamond"/>
                <w:sz w:val="22"/>
                <w:szCs w:val="22"/>
              </w:rPr>
              <w:t>exam schedule. Final exams are not required to be provided online</w:t>
            </w:r>
            <w:r>
              <w:rPr>
                <w:rFonts w:ascii="Garamond" w:hAnsi="Garamond"/>
                <w:sz w:val="22"/>
                <w:szCs w:val="22"/>
              </w:rPr>
              <w:t>.</w:t>
            </w:r>
          </w:p>
        </w:tc>
      </w:tr>
    </w:tbl>
    <w:p w14:paraId="1FF9BD09" w14:textId="77777777" w:rsidR="0063609D" w:rsidRDefault="0063609D">
      <w:pPr>
        <w:rPr>
          <w:rFonts w:ascii="Garamond" w:hAnsi="Garamond" w:cs="Times New Roman"/>
          <w:sz w:val="22"/>
          <w:szCs w:val="22"/>
        </w:rPr>
      </w:pPr>
    </w:p>
    <w:p w14:paraId="1988DBB3" w14:textId="77777777" w:rsidR="0063609D" w:rsidRPr="00FC2F94" w:rsidRDefault="0063609D">
      <w:pPr>
        <w:rPr>
          <w:rFonts w:ascii="Garamond" w:hAnsi="Garamond" w:cs="Times New Roman"/>
          <w:sz w:val="22"/>
          <w:szCs w:val="22"/>
        </w:rPr>
      </w:pPr>
    </w:p>
    <w:p w14:paraId="3B9C2A98" w14:textId="04689082" w:rsidR="00DA42B9" w:rsidRPr="0063609D" w:rsidRDefault="00DA42B9">
      <w:pPr>
        <w:rPr>
          <w:rFonts w:ascii="Garamond" w:hAnsi="Garamond" w:cs="Times New Roman"/>
          <w:b/>
          <w:bCs/>
          <w:sz w:val="22"/>
          <w:szCs w:val="22"/>
        </w:rPr>
      </w:pPr>
      <w:r w:rsidRPr="0063609D">
        <w:rPr>
          <w:rFonts w:ascii="Garamond" w:hAnsi="Garamond" w:cs="Times New Roman"/>
          <w:b/>
          <w:bCs/>
          <w:sz w:val="22"/>
          <w:szCs w:val="22"/>
        </w:rPr>
        <w:t>Student Support</w:t>
      </w:r>
    </w:p>
    <w:p w14:paraId="54CAD662" w14:textId="048F565B" w:rsidR="00DA42B9" w:rsidRPr="00FC2F94" w:rsidRDefault="00DA42B9">
      <w:pPr>
        <w:rPr>
          <w:rFonts w:ascii="Garamond" w:hAnsi="Garamond" w:cs="Times New Roman"/>
          <w:sz w:val="22"/>
          <w:szCs w:val="22"/>
        </w:rPr>
      </w:pPr>
    </w:p>
    <w:tbl>
      <w:tblPr>
        <w:tblStyle w:val="TableGrid"/>
        <w:tblW w:w="9625" w:type="dxa"/>
        <w:tblLook w:val="04A0" w:firstRow="1" w:lastRow="0" w:firstColumn="1" w:lastColumn="0" w:noHBand="0" w:noVBand="1"/>
      </w:tblPr>
      <w:tblGrid>
        <w:gridCol w:w="1885"/>
        <w:gridCol w:w="7740"/>
      </w:tblGrid>
      <w:tr w:rsidR="000B1834" w:rsidRPr="00FC2F94" w14:paraId="69114928" w14:textId="77777777" w:rsidTr="000B1834">
        <w:tc>
          <w:tcPr>
            <w:tcW w:w="1885" w:type="dxa"/>
          </w:tcPr>
          <w:p w14:paraId="03E41CD2" w14:textId="73862402" w:rsidR="000B1834" w:rsidRPr="00FC2F94" w:rsidRDefault="000B1834" w:rsidP="008439DE">
            <w:pPr>
              <w:rPr>
                <w:rFonts w:ascii="Garamond" w:hAnsi="Garamond" w:cs="Times New Roman"/>
                <w:sz w:val="22"/>
                <w:szCs w:val="22"/>
              </w:rPr>
            </w:pPr>
            <w:r w:rsidRPr="00FC2F94">
              <w:rPr>
                <w:rFonts w:ascii="Garamond" w:hAnsi="Garamond" w:cs="Times New Roman"/>
                <w:sz w:val="22"/>
                <w:szCs w:val="22"/>
              </w:rPr>
              <w:t>Student Academic Success Programs</w:t>
            </w:r>
          </w:p>
        </w:tc>
        <w:tc>
          <w:tcPr>
            <w:tcW w:w="7740" w:type="dxa"/>
          </w:tcPr>
          <w:p w14:paraId="61325F08" w14:textId="1F4F2E45" w:rsidR="000B1834" w:rsidRPr="00FC2F94" w:rsidRDefault="000B1834" w:rsidP="00D558D5">
            <w:pPr>
              <w:spacing w:after="15" w:line="249" w:lineRule="auto"/>
              <w:ind w:right="406"/>
              <w:rPr>
                <w:rFonts w:ascii="Garamond" w:hAnsi="Garamond"/>
                <w:sz w:val="22"/>
                <w:szCs w:val="22"/>
              </w:rPr>
            </w:pPr>
            <w:r w:rsidRPr="00FC2F94">
              <w:rPr>
                <w:rFonts w:ascii="Garamond" w:hAnsi="Garamond"/>
                <w:sz w:val="22"/>
                <w:szCs w:val="22"/>
              </w:rPr>
              <w:t>Students needing assistance with writing assignments for SMU courses may schedule an appointment with the Writing Center through Canvas</w:t>
            </w:r>
            <w:r w:rsidR="007E17DE" w:rsidRPr="00FC2F94">
              <w:rPr>
                <w:rFonts w:ascii="Garamond" w:hAnsi="Garamond"/>
                <w:sz w:val="22"/>
                <w:szCs w:val="22"/>
              </w:rPr>
              <w:t>.</w:t>
            </w:r>
            <w:r w:rsidR="007E17DE">
              <w:rPr>
                <w:rFonts w:ascii="Garamond" w:hAnsi="Garamond"/>
                <w:sz w:val="22"/>
                <w:szCs w:val="22"/>
              </w:rPr>
              <w:t xml:space="preserve"> </w:t>
            </w:r>
            <w:r w:rsidRPr="00FC2F94">
              <w:rPr>
                <w:rFonts w:ascii="Garamond" w:hAnsi="Garamond"/>
                <w:sz w:val="22"/>
                <w:szCs w:val="22"/>
              </w:rPr>
              <w:t xml:space="preserve">Students </w:t>
            </w:r>
            <w:r w:rsidR="007E6030">
              <w:rPr>
                <w:rFonts w:ascii="Garamond" w:hAnsi="Garamond"/>
                <w:sz w:val="22"/>
                <w:szCs w:val="22"/>
              </w:rPr>
              <w:t>who would like</w:t>
            </w:r>
            <w:r w:rsidR="007E6030" w:rsidRPr="00FC2F94">
              <w:rPr>
                <w:rFonts w:ascii="Garamond" w:hAnsi="Garamond"/>
                <w:sz w:val="22"/>
                <w:szCs w:val="22"/>
              </w:rPr>
              <w:t xml:space="preserve"> </w:t>
            </w:r>
            <w:r w:rsidRPr="00FC2F94">
              <w:rPr>
                <w:rFonts w:ascii="Garamond" w:hAnsi="Garamond"/>
                <w:sz w:val="22"/>
                <w:szCs w:val="22"/>
              </w:rPr>
              <w:t xml:space="preserve">support </w:t>
            </w:r>
            <w:r w:rsidR="007E6030">
              <w:rPr>
                <w:rFonts w:ascii="Garamond" w:hAnsi="Garamond"/>
                <w:sz w:val="22"/>
                <w:szCs w:val="22"/>
              </w:rPr>
              <w:t>for</w:t>
            </w:r>
            <w:r w:rsidR="007E6030" w:rsidRPr="00FC2F94">
              <w:rPr>
                <w:rFonts w:ascii="Garamond" w:hAnsi="Garamond"/>
                <w:sz w:val="22"/>
                <w:szCs w:val="22"/>
              </w:rPr>
              <w:t xml:space="preserve"> </w:t>
            </w:r>
            <w:r w:rsidRPr="00FC2F94">
              <w:rPr>
                <w:rFonts w:ascii="Garamond" w:hAnsi="Garamond"/>
                <w:sz w:val="22"/>
                <w:szCs w:val="22"/>
              </w:rPr>
              <w:t xml:space="preserve">subject-specific tutoring or success strategies should contact SASP, </w:t>
            </w:r>
            <w:proofErr w:type="spellStart"/>
            <w:r w:rsidRPr="00FC2F94">
              <w:rPr>
                <w:rFonts w:ascii="Garamond" w:hAnsi="Garamond"/>
                <w:sz w:val="22"/>
                <w:szCs w:val="22"/>
              </w:rPr>
              <w:t>Loyd</w:t>
            </w:r>
            <w:proofErr w:type="spellEnd"/>
            <w:r w:rsidRPr="00FC2F94">
              <w:rPr>
                <w:rFonts w:ascii="Garamond" w:hAnsi="Garamond"/>
                <w:sz w:val="22"/>
                <w:szCs w:val="22"/>
              </w:rPr>
              <w:t xml:space="preserve"> All Sports Center, Suite 202</w:t>
            </w:r>
            <w:r w:rsidR="007E17DE" w:rsidRPr="00FC2F94">
              <w:rPr>
                <w:rFonts w:ascii="Garamond" w:hAnsi="Garamond"/>
                <w:sz w:val="22"/>
                <w:szCs w:val="22"/>
              </w:rPr>
              <w:t>;</w:t>
            </w:r>
            <w:r w:rsidR="007E17DE">
              <w:rPr>
                <w:rFonts w:ascii="Garamond" w:hAnsi="Garamond"/>
                <w:sz w:val="22"/>
                <w:szCs w:val="22"/>
              </w:rPr>
              <w:t xml:space="preserve"> </w:t>
            </w:r>
            <w:r w:rsidRPr="00FC2F94">
              <w:rPr>
                <w:rFonts w:ascii="Garamond" w:hAnsi="Garamond"/>
                <w:sz w:val="22"/>
                <w:szCs w:val="22"/>
              </w:rPr>
              <w:t xml:space="preserve">214-768-3648; </w:t>
            </w:r>
            <w:hyperlink r:id="rId16">
              <w:r w:rsidRPr="00FC2F94">
                <w:rPr>
                  <w:rFonts w:ascii="Garamond" w:hAnsi="Garamond"/>
                  <w:color w:val="0070C0"/>
                  <w:sz w:val="22"/>
                  <w:szCs w:val="22"/>
                  <w:u w:val="single" w:color="0070C0"/>
                </w:rPr>
                <w:t>https://www.smu.edu/sasp</w:t>
              </w:r>
            </w:hyperlink>
            <w:hyperlink r:id="rId17">
              <w:r w:rsidRPr="00FC2F94">
                <w:rPr>
                  <w:rFonts w:ascii="Garamond" w:hAnsi="Garamond"/>
                  <w:sz w:val="22"/>
                  <w:szCs w:val="22"/>
                </w:rPr>
                <w:t>.</w:t>
              </w:r>
            </w:hyperlink>
            <w:r w:rsidRPr="00FC2F94">
              <w:rPr>
                <w:rFonts w:ascii="Garamond" w:eastAsia="Calibri" w:hAnsi="Garamond" w:cs="Calibri"/>
                <w:sz w:val="22"/>
                <w:szCs w:val="22"/>
              </w:rPr>
              <w:t xml:space="preserve"> </w:t>
            </w:r>
          </w:p>
        </w:tc>
      </w:tr>
      <w:tr w:rsidR="000B1834" w:rsidRPr="00FC2F94" w14:paraId="7CBDA971" w14:textId="77777777" w:rsidTr="000B1834">
        <w:tc>
          <w:tcPr>
            <w:tcW w:w="1885" w:type="dxa"/>
          </w:tcPr>
          <w:p w14:paraId="57307618" w14:textId="58F6AF77" w:rsidR="000B1834" w:rsidRPr="00FC2F94" w:rsidRDefault="000B1834" w:rsidP="00DA42B9">
            <w:pPr>
              <w:rPr>
                <w:rFonts w:ascii="Garamond" w:hAnsi="Garamond" w:cs="Times New Roman"/>
                <w:sz w:val="22"/>
                <w:szCs w:val="22"/>
              </w:rPr>
            </w:pPr>
            <w:r w:rsidRPr="00FC2F94">
              <w:rPr>
                <w:rFonts w:ascii="Garamond" w:hAnsi="Garamond" w:cs="Times New Roman"/>
                <w:sz w:val="22"/>
                <w:szCs w:val="22"/>
              </w:rPr>
              <w:t>Caring Community Connections Program</w:t>
            </w:r>
          </w:p>
        </w:tc>
        <w:tc>
          <w:tcPr>
            <w:tcW w:w="7740" w:type="dxa"/>
          </w:tcPr>
          <w:p w14:paraId="792F6C81" w14:textId="5AE6DADB" w:rsidR="000B1834" w:rsidRPr="00FC2F94" w:rsidRDefault="000B1834" w:rsidP="00DA42B9">
            <w:pPr>
              <w:rPr>
                <w:rFonts w:ascii="Garamond" w:hAnsi="Garamond" w:cs="Times New Roman"/>
                <w:sz w:val="22"/>
                <w:szCs w:val="22"/>
              </w:rPr>
            </w:pPr>
            <w:r>
              <w:rPr>
                <w:rFonts w:ascii="Garamond" w:hAnsi="Garamond"/>
                <w:sz w:val="22"/>
                <w:szCs w:val="22"/>
              </w:rPr>
              <w:t>CCC</w:t>
            </w:r>
            <w:r w:rsidRPr="00FC2F94">
              <w:rPr>
                <w:rFonts w:ascii="Garamond" w:hAnsi="Garamond"/>
                <w:sz w:val="22"/>
                <w:szCs w:val="22"/>
              </w:rPr>
              <w:t xml:space="preserve"> is a resource for anyone in the SMU community to refer students of concern to the Office of the Dean of Students. The online referral form can be found at </w:t>
            </w:r>
            <w:hyperlink r:id="rId18">
              <w:r w:rsidRPr="00FC2F94">
                <w:rPr>
                  <w:rFonts w:ascii="Garamond" w:hAnsi="Garamond"/>
                  <w:color w:val="0070C0"/>
                  <w:sz w:val="22"/>
                  <w:szCs w:val="22"/>
                  <w:u w:val="single" w:color="0070C0"/>
                </w:rPr>
                <w:t>smu.edu/</w:t>
              </w:r>
              <w:proofErr w:type="spellStart"/>
              <w:r w:rsidRPr="00FC2F94">
                <w:rPr>
                  <w:rFonts w:ascii="Garamond" w:hAnsi="Garamond"/>
                  <w:color w:val="0070C0"/>
                  <w:sz w:val="22"/>
                  <w:szCs w:val="22"/>
                  <w:u w:val="single" w:color="0070C0"/>
                </w:rPr>
                <w:t>deanofstudentsccc</w:t>
              </w:r>
              <w:proofErr w:type="spellEnd"/>
            </w:hyperlink>
            <w:hyperlink r:id="rId19">
              <w:r w:rsidRPr="00FC2F94">
                <w:rPr>
                  <w:rFonts w:ascii="Garamond" w:hAnsi="Garamond"/>
                  <w:color w:val="0070C0"/>
                  <w:sz w:val="22"/>
                  <w:szCs w:val="22"/>
                </w:rPr>
                <w:t>.</w:t>
              </w:r>
            </w:hyperlink>
            <w:r w:rsidRPr="00FC2F94">
              <w:rPr>
                <w:rFonts w:ascii="Garamond" w:hAnsi="Garamond"/>
                <w:color w:val="0070C0"/>
                <w:sz w:val="22"/>
                <w:szCs w:val="22"/>
              </w:rPr>
              <w:t xml:space="preserve"> </w:t>
            </w:r>
            <w:r w:rsidRPr="00FC2F94">
              <w:rPr>
                <w:rFonts w:ascii="Garamond" w:hAnsi="Garamond"/>
                <w:sz w:val="22"/>
                <w:szCs w:val="22"/>
              </w:rPr>
              <w:t xml:space="preserve">After a referral </w:t>
            </w:r>
            <w:r w:rsidR="007E6030">
              <w:rPr>
                <w:rFonts w:ascii="Garamond" w:hAnsi="Garamond"/>
                <w:sz w:val="22"/>
                <w:szCs w:val="22"/>
              </w:rPr>
              <w:t xml:space="preserve">form </w:t>
            </w:r>
            <w:r w:rsidRPr="00FC2F94">
              <w:rPr>
                <w:rFonts w:ascii="Garamond" w:hAnsi="Garamond"/>
                <w:sz w:val="22"/>
                <w:szCs w:val="22"/>
              </w:rPr>
              <w:t xml:space="preserve">is submitted, students will be contacted to discuss the concern, strategize options, and be connected to appropriate resources. </w:t>
            </w:r>
            <w:r w:rsidR="007E6030">
              <w:rPr>
                <w:rFonts w:ascii="Garamond" w:hAnsi="Garamond"/>
                <w:sz w:val="22"/>
                <w:szCs w:val="22"/>
              </w:rPr>
              <w:t>Anyone who is</w:t>
            </w:r>
            <w:r w:rsidRPr="00FC2F94">
              <w:rPr>
                <w:rFonts w:ascii="Garamond" w:hAnsi="Garamond"/>
                <w:sz w:val="22"/>
                <w:szCs w:val="22"/>
              </w:rPr>
              <w:t xml:space="preserve"> unclear about what </w:t>
            </w:r>
            <w:r w:rsidR="007E6030">
              <w:rPr>
                <w:rFonts w:ascii="Garamond" w:hAnsi="Garamond"/>
                <w:sz w:val="22"/>
                <w:szCs w:val="22"/>
              </w:rPr>
              <w:t xml:space="preserve">steps to take if they have concerns about students should either consult </w:t>
            </w:r>
            <w:r w:rsidRPr="00FC2F94">
              <w:rPr>
                <w:rFonts w:ascii="Garamond" w:hAnsi="Garamond"/>
                <w:sz w:val="22"/>
                <w:szCs w:val="22"/>
              </w:rPr>
              <w:t xml:space="preserve">the </w:t>
            </w:r>
            <w:hyperlink r:id="rId20">
              <w:r w:rsidRPr="00FC2F94">
                <w:rPr>
                  <w:rFonts w:ascii="Garamond" w:hAnsi="Garamond"/>
                  <w:color w:val="0070C0"/>
                  <w:sz w:val="22"/>
                  <w:szCs w:val="22"/>
                  <w:u w:val="single" w:color="0070C0"/>
                </w:rPr>
                <w:t xml:space="preserve">CCC Reference </w:t>
              </w:r>
            </w:hyperlink>
            <w:hyperlink r:id="rId21">
              <w:r w:rsidRPr="00FC2F94">
                <w:rPr>
                  <w:rFonts w:ascii="Garamond" w:hAnsi="Garamond"/>
                  <w:color w:val="5B9BD5"/>
                  <w:sz w:val="22"/>
                  <w:szCs w:val="22"/>
                  <w:u w:val="single" w:color="5B9BD5"/>
                </w:rPr>
                <w:t>Guide</w:t>
              </w:r>
            </w:hyperlink>
            <w:r w:rsidR="007E6030">
              <w:rPr>
                <w:rFonts w:ascii="Garamond" w:hAnsi="Garamond"/>
                <w:color w:val="5B9BD5"/>
                <w:sz w:val="22"/>
                <w:szCs w:val="22"/>
                <w:u w:val="single" w:color="5B9BD5"/>
              </w:rPr>
              <w:t xml:space="preserve"> </w:t>
            </w:r>
            <w:r w:rsidRPr="00FC2F94">
              <w:rPr>
                <w:rFonts w:ascii="Garamond" w:hAnsi="Garamond"/>
                <w:sz w:val="22"/>
                <w:szCs w:val="22"/>
              </w:rPr>
              <w:t>or contact the Office of the Dean of Students at 214-768-4564.</w:t>
            </w:r>
            <w:r w:rsidRPr="00FC2F94">
              <w:rPr>
                <w:rFonts w:ascii="Garamond" w:eastAsia="Calibri" w:hAnsi="Garamond" w:cs="Calibri"/>
                <w:sz w:val="22"/>
                <w:szCs w:val="22"/>
              </w:rPr>
              <w:t xml:space="preserve"> </w:t>
            </w:r>
          </w:p>
        </w:tc>
      </w:tr>
    </w:tbl>
    <w:p w14:paraId="069DE932" w14:textId="7307C5EE" w:rsidR="00DA42B9" w:rsidRPr="00FC2F94" w:rsidRDefault="00DA42B9">
      <w:pPr>
        <w:rPr>
          <w:rFonts w:ascii="Garamond" w:hAnsi="Garamond" w:cs="Times New Roman"/>
          <w:sz w:val="22"/>
          <w:szCs w:val="22"/>
        </w:rPr>
      </w:pPr>
    </w:p>
    <w:p w14:paraId="0C412018" w14:textId="75E89C18" w:rsidR="00DA42B9" w:rsidRPr="00FC2F94" w:rsidRDefault="00DA42B9">
      <w:pPr>
        <w:rPr>
          <w:rFonts w:ascii="Garamond" w:hAnsi="Garamond" w:cs="Times New Roman"/>
          <w:b/>
          <w:bCs/>
          <w:sz w:val="22"/>
          <w:szCs w:val="22"/>
        </w:rPr>
      </w:pPr>
      <w:r w:rsidRPr="00FC2F94">
        <w:rPr>
          <w:rFonts w:ascii="Garamond" w:hAnsi="Garamond" w:cs="Times New Roman"/>
          <w:b/>
          <w:bCs/>
          <w:sz w:val="22"/>
          <w:szCs w:val="22"/>
        </w:rPr>
        <w:t>Optional language</w:t>
      </w:r>
    </w:p>
    <w:p w14:paraId="77B94B70" w14:textId="1A8FF84F" w:rsidR="00DA42B9" w:rsidRPr="00FC2F94" w:rsidRDefault="00DA42B9">
      <w:pPr>
        <w:rPr>
          <w:rFonts w:ascii="Garamond" w:hAnsi="Garamond" w:cs="Times New Roman"/>
          <w:sz w:val="22"/>
          <w:szCs w:val="22"/>
        </w:rPr>
      </w:pPr>
    </w:p>
    <w:tbl>
      <w:tblPr>
        <w:tblStyle w:val="TableGrid"/>
        <w:tblW w:w="9625" w:type="dxa"/>
        <w:tblLook w:val="04A0" w:firstRow="1" w:lastRow="0" w:firstColumn="1" w:lastColumn="0" w:noHBand="0" w:noVBand="1"/>
      </w:tblPr>
      <w:tblGrid>
        <w:gridCol w:w="1885"/>
        <w:gridCol w:w="7740"/>
      </w:tblGrid>
      <w:tr w:rsidR="00BE3AB2" w:rsidRPr="00FC2F94" w14:paraId="032111CB" w14:textId="77777777" w:rsidTr="00BE3AB2">
        <w:tc>
          <w:tcPr>
            <w:tcW w:w="1885" w:type="dxa"/>
          </w:tcPr>
          <w:p w14:paraId="2F012DEA" w14:textId="1649C4D3" w:rsidR="00BE3AB2" w:rsidRPr="00FC2F94" w:rsidRDefault="00BE3AB2">
            <w:pPr>
              <w:rPr>
                <w:rFonts w:ascii="Garamond" w:hAnsi="Garamond" w:cs="Times New Roman"/>
                <w:sz w:val="22"/>
                <w:szCs w:val="22"/>
              </w:rPr>
            </w:pPr>
            <w:r w:rsidRPr="00FC2F94">
              <w:rPr>
                <w:rFonts w:ascii="Garamond" w:hAnsi="Garamond" w:cs="Times New Roman"/>
                <w:sz w:val="22"/>
                <w:szCs w:val="22"/>
              </w:rPr>
              <w:t>Campus Carry Law</w:t>
            </w:r>
          </w:p>
        </w:tc>
        <w:tc>
          <w:tcPr>
            <w:tcW w:w="7740" w:type="dxa"/>
          </w:tcPr>
          <w:p w14:paraId="5B4B304A" w14:textId="2595B150" w:rsidR="00BE3AB2" w:rsidRPr="00FC2F94" w:rsidRDefault="00BE3AB2" w:rsidP="007E6030">
            <w:pPr>
              <w:ind w:right="13"/>
              <w:rPr>
                <w:rFonts w:ascii="Garamond" w:hAnsi="Garamond"/>
                <w:sz w:val="22"/>
                <w:szCs w:val="22"/>
              </w:rPr>
            </w:pPr>
            <w:r w:rsidRPr="00FC2F94">
              <w:rPr>
                <w:rFonts w:ascii="Garamond" w:hAnsi="Garamond"/>
                <w:sz w:val="22"/>
                <w:szCs w:val="22"/>
              </w:rPr>
              <w:t xml:space="preserve">In accordance with Texas Senate Bill 11, also known as the ‘campus carry’ law, </w:t>
            </w:r>
            <w:r w:rsidR="002C26A2">
              <w:rPr>
                <w:rFonts w:ascii="Garamond" w:hAnsi="Garamond"/>
                <w:sz w:val="22"/>
                <w:szCs w:val="22"/>
              </w:rPr>
              <w:t xml:space="preserve">and </w:t>
            </w:r>
            <w:r w:rsidRPr="00FC2F94">
              <w:rPr>
                <w:rFonts w:ascii="Garamond" w:hAnsi="Garamond"/>
                <w:sz w:val="22"/>
                <w:szCs w:val="22"/>
              </w:rPr>
              <w:t>following consultation with entire University community</w:t>
            </w:r>
            <w:r w:rsidR="002C26A2">
              <w:rPr>
                <w:rFonts w:ascii="Garamond" w:hAnsi="Garamond"/>
                <w:sz w:val="22"/>
                <w:szCs w:val="22"/>
              </w:rPr>
              <w:t>,</w:t>
            </w:r>
            <w:r w:rsidRPr="00FC2F94">
              <w:rPr>
                <w:rFonts w:ascii="Garamond" w:hAnsi="Garamond"/>
                <w:sz w:val="22"/>
                <w:szCs w:val="22"/>
              </w:rPr>
              <w:t xml:space="preserve"> SMU </w:t>
            </w:r>
            <w:r w:rsidR="00582202">
              <w:rPr>
                <w:rFonts w:ascii="Garamond" w:hAnsi="Garamond"/>
                <w:sz w:val="22"/>
                <w:szCs w:val="22"/>
              </w:rPr>
              <w:t>chooses</w:t>
            </w:r>
            <w:r w:rsidR="00582202" w:rsidRPr="00FC2F94">
              <w:rPr>
                <w:rFonts w:ascii="Garamond" w:hAnsi="Garamond"/>
                <w:sz w:val="22"/>
                <w:szCs w:val="22"/>
              </w:rPr>
              <w:t xml:space="preserve"> </w:t>
            </w:r>
            <w:r w:rsidRPr="00FC2F94">
              <w:rPr>
                <w:rFonts w:ascii="Garamond" w:hAnsi="Garamond"/>
                <w:sz w:val="22"/>
                <w:szCs w:val="22"/>
              </w:rPr>
              <w:t>to remain a weapons-free campus. Specifically, SMU prohibits possession of weapons (either openly or in a concealed manner) on campus. For more information, please see:</w:t>
            </w:r>
            <w:r w:rsidRPr="00FC2F94">
              <w:rPr>
                <w:rFonts w:ascii="Garamond" w:hAnsi="Garamond"/>
                <w:color w:val="5B9BD5"/>
                <w:sz w:val="22"/>
                <w:szCs w:val="22"/>
              </w:rPr>
              <w:t xml:space="preserve"> </w:t>
            </w:r>
            <w:hyperlink r:id="rId22">
              <w:r w:rsidRPr="00FC2F94">
                <w:rPr>
                  <w:rFonts w:ascii="Garamond" w:hAnsi="Garamond"/>
                  <w:color w:val="0070C0"/>
                  <w:sz w:val="22"/>
                  <w:szCs w:val="22"/>
                  <w:u w:val="single" w:color="0070C0"/>
                </w:rPr>
                <w:t>http://www.smu.edu/BusinessFinance/Police/Weapons_Policy</w:t>
              </w:r>
            </w:hyperlink>
            <w:hyperlink r:id="rId23">
              <w:r w:rsidRPr="00FC2F94">
                <w:rPr>
                  <w:rFonts w:ascii="Garamond" w:hAnsi="Garamond"/>
                  <w:color w:val="0070C0"/>
                  <w:sz w:val="22"/>
                  <w:szCs w:val="22"/>
                </w:rPr>
                <w:t>.</w:t>
              </w:r>
            </w:hyperlink>
          </w:p>
        </w:tc>
      </w:tr>
    </w:tbl>
    <w:p w14:paraId="2035A27A" w14:textId="77777777" w:rsidR="00DA42B9" w:rsidRPr="00FC2F94" w:rsidRDefault="00DA42B9">
      <w:pPr>
        <w:rPr>
          <w:rFonts w:ascii="Garamond" w:hAnsi="Garamond" w:cs="Times New Roman"/>
          <w:sz w:val="22"/>
          <w:szCs w:val="22"/>
        </w:rPr>
      </w:pPr>
    </w:p>
    <w:sectPr w:rsidR="00DA42B9" w:rsidRPr="00FC2F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9C81" w14:textId="77777777" w:rsidR="00546103" w:rsidRDefault="00546103" w:rsidP="00131915">
      <w:r>
        <w:separator/>
      </w:r>
    </w:p>
  </w:endnote>
  <w:endnote w:type="continuationSeparator" w:id="0">
    <w:p w14:paraId="5EF3936B" w14:textId="77777777" w:rsidR="00546103" w:rsidRDefault="00546103" w:rsidP="0013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E59AC" w14:textId="77777777" w:rsidR="00546103" w:rsidRDefault="00546103" w:rsidP="00131915">
      <w:r>
        <w:separator/>
      </w:r>
    </w:p>
  </w:footnote>
  <w:footnote w:type="continuationSeparator" w:id="0">
    <w:p w14:paraId="2E43D6F2" w14:textId="77777777" w:rsidR="00546103" w:rsidRDefault="00546103" w:rsidP="00131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596"/>
    <w:multiLevelType w:val="hybridMultilevel"/>
    <w:tmpl w:val="45F075C0"/>
    <w:lvl w:ilvl="0" w:tplc="BA028988">
      <w:start w:val="1"/>
      <w:numFmt w:val="bullet"/>
      <w:lvlText w:val="•"/>
      <w:lvlJc w:val="left"/>
      <w:pPr>
        <w:ind w:left="1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6E902E">
      <w:start w:val="1"/>
      <w:numFmt w:val="bullet"/>
      <w:lvlText w:val="o"/>
      <w:lvlJc w:val="left"/>
      <w:pPr>
        <w:ind w:left="2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FC19C0">
      <w:start w:val="1"/>
      <w:numFmt w:val="bullet"/>
      <w:lvlText w:val="▪"/>
      <w:lvlJc w:val="left"/>
      <w:pPr>
        <w:ind w:left="2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9C5C56">
      <w:start w:val="1"/>
      <w:numFmt w:val="bullet"/>
      <w:lvlText w:val="•"/>
      <w:lvlJc w:val="left"/>
      <w:pPr>
        <w:ind w:left="3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BED14E">
      <w:start w:val="1"/>
      <w:numFmt w:val="bullet"/>
      <w:lvlText w:val="o"/>
      <w:lvlJc w:val="left"/>
      <w:pPr>
        <w:ind w:left="4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E0A0B6">
      <w:start w:val="1"/>
      <w:numFmt w:val="bullet"/>
      <w:lvlText w:val="▪"/>
      <w:lvlJc w:val="left"/>
      <w:pPr>
        <w:ind w:left="48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A46050">
      <w:start w:val="1"/>
      <w:numFmt w:val="bullet"/>
      <w:lvlText w:val="•"/>
      <w:lvlJc w:val="left"/>
      <w:pPr>
        <w:ind w:left="5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FA10CA">
      <w:start w:val="1"/>
      <w:numFmt w:val="bullet"/>
      <w:lvlText w:val="o"/>
      <w:lvlJc w:val="left"/>
      <w:pPr>
        <w:ind w:left="63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222C3C">
      <w:start w:val="1"/>
      <w:numFmt w:val="bullet"/>
      <w:lvlText w:val="▪"/>
      <w:lvlJc w:val="left"/>
      <w:pPr>
        <w:ind w:left="70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ACB3C0A"/>
    <w:multiLevelType w:val="hybridMultilevel"/>
    <w:tmpl w:val="DBD40ED2"/>
    <w:lvl w:ilvl="0" w:tplc="9584732C">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209"/>
    <w:rsid w:val="00003847"/>
    <w:rsid w:val="00061ED0"/>
    <w:rsid w:val="000B1834"/>
    <w:rsid w:val="000E3CCD"/>
    <w:rsid w:val="00131915"/>
    <w:rsid w:val="00154952"/>
    <w:rsid w:val="001F0FE7"/>
    <w:rsid w:val="002C26A2"/>
    <w:rsid w:val="002C440A"/>
    <w:rsid w:val="002F340C"/>
    <w:rsid w:val="00334209"/>
    <w:rsid w:val="00362FDD"/>
    <w:rsid w:val="003C4704"/>
    <w:rsid w:val="003D1411"/>
    <w:rsid w:val="00431C8F"/>
    <w:rsid w:val="005210B5"/>
    <w:rsid w:val="00546103"/>
    <w:rsid w:val="005730F8"/>
    <w:rsid w:val="00582202"/>
    <w:rsid w:val="00627C27"/>
    <w:rsid w:val="0063609D"/>
    <w:rsid w:val="00654465"/>
    <w:rsid w:val="00663AD9"/>
    <w:rsid w:val="0070174A"/>
    <w:rsid w:val="0071274E"/>
    <w:rsid w:val="00724A37"/>
    <w:rsid w:val="007B2D53"/>
    <w:rsid w:val="007E17DE"/>
    <w:rsid w:val="007E6030"/>
    <w:rsid w:val="00844DF5"/>
    <w:rsid w:val="008520AE"/>
    <w:rsid w:val="00882DCF"/>
    <w:rsid w:val="008A1F8A"/>
    <w:rsid w:val="008D3B2A"/>
    <w:rsid w:val="00907B4B"/>
    <w:rsid w:val="0099249C"/>
    <w:rsid w:val="009F3A14"/>
    <w:rsid w:val="00AC70AC"/>
    <w:rsid w:val="00AE5FF9"/>
    <w:rsid w:val="00AF0D67"/>
    <w:rsid w:val="00B4369B"/>
    <w:rsid w:val="00B71BC2"/>
    <w:rsid w:val="00B92B0E"/>
    <w:rsid w:val="00BB7CDC"/>
    <w:rsid w:val="00BC489E"/>
    <w:rsid w:val="00BE3AB2"/>
    <w:rsid w:val="00BF44E0"/>
    <w:rsid w:val="00CD1976"/>
    <w:rsid w:val="00D03804"/>
    <w:rsid w:val="00D558D5"/>
    <w:rsid w:val="00DA42B9"/>
    <w:rsid w:val="00E466FD"/>
    <w:rsid w:val="00EB17D5"/>
    <w:rsid w:val="00EE5EDC"/>
    <w:rsid w:val="00F553B6"/>
    <w:rsid w:val="00F80C01"/>
    <w:rsid w:val="00FC2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9F91E"/>
  <w15:chartTrackingRefBased/>
  <w15:docId w15:val="{F1CB7BEF-49A8-0E47-AB81-E0B5BAE1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7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CDC"/>
    <w:pPr>
      <w:spacing w:after="15" w:line="249" w:lineRule="auto"/>
      <w:ind w:left="720" w:hanging="10"/>
      <w:contextualSpacing/>
    </w:pPr>
    <w:rPr>
      <w:rFonts w:ascii="Times New Roman" w:eastAsia="Times New Roman" w:hAnsi="Times New Roman" w:cs="Times New Roman"/>
      <w:color w:val="000000"/>
    </w:rPr>
  </w:style>
  <w:style w:type="character" w:styleId="Hyperlink">
    <w:name w:val="Hyperlink"/>
    <w:basedOn w:val="DefaultParagraphFont"/>
    <w:uiPriority w:val="99"/>
    <w:unhideWhenUsed/>
    <w:rsid w:val="00362FDD"/>
    <w:rPr>
      <w:color w:val="0563C1" w:themeColor="hyperlink"/>
      <w:u w:val="single"/>
    </w:rPr>
  </w:style>
  <w:style w:type="character" w:styleId="UnresolvedMention">
    <w:name w:val="Unresolved Mention"/>
    <w:basedOn w:val="DefaultParagraphFont"/>
    <w:uiPriority w:val="99"/>
    <w:semiHidden/>
    <w:unhideWhenUsed/>
    <w:rsid w:val="00362FDD"/>
    <w:rPr>
      <w:color w:val="605E5C"/>
      <w:shd w:val="clear" w:color="auto" w:fill="E1DFDD"/>
    </w:rPr>
  </w:style>
  <w:style w:type="paragraph" w:styleId="Header">
    <w:name w:val="header"/>
    <w:basedOn w:val="Normal"/>
    <w:link w:val="HeaderChar"/>
    <w:uiPriority w:val="99"/>
    <w:unhideWhenUsed/>
    <w:rsid w:val="00131915"/>
    <w:pPr>
      <w:tabs>
        <w:tab w:val="center" w:pos="4680"/>
        <w:tab w:val="right" w:pos="9360"/>
      </w:tabs>
    </w:pPr>
  </w:style>
  <w:style w:type="character" w:customStyle="1" w:styleId="HeaderChar">
    <w:name w:val="Header Char"/>
    <w:basedOn w:val="DefaultParagraphFont"/>
    <w:link w:val="Header"/>
    <w:uiPriority w:val="99"/>
    <w:rsid w:val="00131915"/>
  </w:style>
  <w:style w:type="paragraph" w:styleId="Footer">
    <w:name w:val="footer"/>
    <w:basedOn w:val="Normal"/>
    <w:link w:val="FooterChar"/>
    <w:uiPriority w:val="99"/>
    <w:unhideWhenUsed/>
    <w:rsid w:val="00131915"/>
    <w:pPr>
      <w:tabs>
        <w:tab w:val="center" w:pos="4680"/>
        <w:tab w:val="right" w:pos="9360"/>
      </w:tabs>
    </w:pPr>
  </w:style>
  <w:style w:type="character" w:customStyle="1" w:styleId="FooterChar">
    <w:name w:val="Footer Char"/>
    <w:basedOn w:val="DefaultParagraphFont"/>
    <w:link w:val="Footer"/>
    <w:uiPriority w:val="99"/>
    <w:rsid w:val="00131915"/>
  </w:style>
  <w:style w:type="character" w:customStyle="1" w:styleId="apple-converted-space">
    <w:name w:val="apple-converted-space"/>
    <w:basedOn w:val="DefaultParagraphFont"/>
    <w:rsid w:val="00FC2F94"/>
  </w:style>
  <w:style w:type="character" w:styleId="FollowedHyperlink">
    <w:name w:val="FollowedHyperlink"/>
    <w:basedOn w:val="DefaultParagraphFont"/>
    <w:uiPriority w:val="99"/>
    <w:semiHidden/>
    <w:unhideWhenUsed/>
    <w:rsid w:val="008D3B2A"/>
    <w:rPr>
      <w:color w:val="954F72" w:themeColor="followedHyperlink"/>
      <w:u w:val="single"/>
    </w:rPr>
  </w:style>
  <w:style w:type="paragraph" w:styleId="Revision">
    <w:name w:val="Revision"/>
    <w:hidden/>
    <w:uiPriority w:val="99"/>
    <w:semiHidden/>
    <w:rsid w:val="007E1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18419">
      <w:bodyDiv w:val="1"/>
      <w:marLeft w:val="0"/>
      <w:marRight w:val="0"/>
      <w:marTop w:val="0"/>
      <w:marBottom w:val="0"/>
      <w:divBdr>
        <w:top w:val="none" w:sz="0" w:space="0" w:color="auto"/>
        <w:left w:val="none" w:sz="0" w:space="0" w:color="auto"/>
        <w:bottom w:val="none" w:sz="0" w:space="0" w:color="auto"/>
        <w:right w:val="none" w:sz="0" w:space="0" w:color="auto"/>
      </w:divBdr>
    </w:div>
    <w:div w:id="1192764983">
      <w:bodyDiv w:val="1"/>
      <w:marLeft w:val="0"/>
      <w:marRight w:val="0"/>
      <w:marTop w:val="0"/>
      <w:marBottom w:val="0"/>
      <w:divBdr>
        <w:top w:val="none" w:sz="0" w:space="0" w:color="auto"/>
        <w:left w:val="none" w:sz="0" w:space="0" w:color="auto"/>
        <w:bottom w:val="none" w:sz="0" w:space="0" w:color="auto"/>
        <w:right w:val="none" w:sz="0" w:space="0" w:color="auto"/>
      </w:divBdr>
    </w:div>
    <w:div w:id="13405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equity@smu.edu" TargetMode="External"/><Relationship Id="rId13" Type="http://schemas.openxmlformats.org/officeDocument/2006/relationships/hyperlink" Target="https://catalog.smu.edu/content.php?catoid=51&amp;navoid=4645&amp;hl=%22excused+absences%22&amp;returnto=search" TargetMode="External"/><Relationship Id="rId18" Type="http://schemas.openxmlformats.org/officeDocument/2006/relationships/hyperlink" Target="http://www.smu.edu/deanofstudentsccc" TargetMode="External"/><Relationship Id="rId3" Type="http://schemas.openxmlformats.org/officeDocument/2006/relationships/settings" Target="settings.xml"/><Relationship Id="rId21" Type="http://schemas.openxmlformats.org/officeDocument/2006/relationships/hyperlink" Target="https://www.smu.edu/-/media/Site/StudentAffairs/StudentLife/PDF/Brochure_CCC_Details_Concerned_about_an_SMU_Student.pdf?la=en" TargetMode="External"/><Relationship Id="rId7" Type="http://schemas.openxmlformats.org/officeDocument/2006/relationships/hyperlink" Target="http://www.smu.edu/Provost/SASP/DASS" TargetMode="External"/><Relationship Id="rId12" Type="http://schemas.openxmlformats.org/officeDocument/2006/relationships/hyperlink" Target="https://www.smu.edu/Coronavirus/Contact-Tracing" TargetMode="External"/><Relationship Id="rId17" Type="http://schemas.openxmlformats.org/officeDocument/2006/relationships/hyperlink" Target="https://www.smu.edu/sas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mu.edu/sasp" TargetMode="External"/><Relationship Id="rId20" Type="http://schemas.openxmlformats.org/officeDocument/2006/relationships/hyperlink" Target="https://www.smu.edu/-/media/Site/StudentAffairs/StudentLife/PDF/Brochure_CCC_Details_Concerned_about_an_SMU_Student.pdf?la=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u.edu/Coronavirus/Contact-Trac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atalog.smu.edu/content.php?catoid=51&amp;navoid=4645&amp;hl=%22excused+absences%22&amp;returnto=search" TargetMode="External"/><Relationship Id="rId23" Type="http://schemas.openxmlformats.org/officeDocument/2006/relationships/hyperlink" Target="http://www.smu.edu/BusinessFinance/Police/Weapons_Policy" TargetMode="External"/><Relationship Id="rId10" Type="http://schemas.openxmlformats.org/officeDocument/2006/relationships/hyperlink" Target="https://www.smu.edu/StudentAffairs/ChaplainandReligiousLife/ReligiousHolidays" TargetMode="External"/><Relationship Id="rId19" Type="http://schemas.openxmlformats.org/officeDocument/2006/relationships/hyperlink" Target="http://www.smu.edu/deanofstudentsccc" TargetMode="External"/><Relationship Id="rId4" Type="http://schemas.openxmlformats.org/officeDocument/2006/relationships/webSettings" Target="webSettings.xml"/><Relationship Id="rId9" Type="http://schemas.openxmlformats.org/officeDocument/2006/relationships/hyperlink" Target="http://www.smu.edu/sexualmisconduct" TargetMode="External"/><Relationship Id="rId14" Type="http://schemas.openxmlformats.org/officeDocument/2006/relationships/hyperlink" Target="https://catalog.smu.edu/content.php?catoid=51&amp;navoid=4645&amp;hl=%22excused+absences%22&amp;returnto=search" TargetMode="External"/><Relationship Id="rId22" Type="http://schemas.openxmlformats.org/officeDocument/2006/relationships/hyperlink" Target="http://www.smu.edu/BusinessFinance/Police/Weapons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 Paige</dc:creator>
  <cp:keywords/>
  <dc:description/>
  <cp:lastModifiedBy>Ware, Paige</cp:lastModifiedBy>
  <cp:revision>7</cp:revision>
  <dcterms:created xsi:type="dcterms:W3CDTF">2021-07-19T13:49:00Z</dcterms:created>
  <dcterms:modified xsi:type="dcterms:W3CDTF">2021-07-19T19:58:00Z</dcterms:modified>
</cp:coreProperties>
</file>